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C19D5">
      <w:pPr>
        <w:spacing w:beforeLines="20" w:afterLines="20" w:line="360" w:lineRule="auto"/>
        <w:rPr>
          <w:rFonts w:ascii="仿宋" w:hAnsi="仿宋" w:eastAsia="仿宋" w:cs="仿宋"/>
          <w:b/>
          <w:bCs/>
          <w:color w:val="auto"/>
          <w:w w:val="90"/>
          <w:sz w:val="48"/>
          <w:szCs w:val="48"/>
          <w:highlight w:val="none"/>
        </w:rPr>
      </w:pPr>
    </w:p>
    <w:p w14:paraId="7D50FC2D">
      <w:pPr>
        <w:spacing w:beforeLines="20" w:afterLines="20" w:line="360" w:lineRule="auto"/>
        <w:jc w:val="center"/>
        <w:rPr>
          <w:rFonts w:ascii="仿宋" w:hAnsi="仿宋" w:eastAsia="仿宋" w:cs="仿宋"/>
          <w:b/>
          <w:bCs/>
          <w:color w:val="auto"/>
          <w:w w:val="90"/>
          <w:sz w:val="44"/>
          <w:szCs w:val="44"/>
          <w:highlight w:val="none"/>
        </w:rPr>
      </w:pPr>
    </w:p>
    <w:p w14:paraId="6E76E50B">
      <w:pPr>
        <w:spacing w:beforeLines="20" w:afterLines="20" w:line="360" w:lineRule="auto"/>
        <w:jc w:val="center"/>
        <w:rPr>
          <w:rFonts w:hint="eastAsia" w:ascii="仿宋" w:hAnsi="仿宋" w:eastAsia="仿宋" w:cs="仿宋"/>
          <w:b/>
          <w:bCs/>
          <w:color w:val="auto"/>
          <w:w w:val="90"/>
          <w:sz w:val="44"/>
          <w:szCs w:val="44"/>
          <w:highlight w:val="none"/>
          <w:lang w:eastAsia="zh-CN"/>
        </w:rPr>
      </w:pPr>
      <w:r>
        <w:rPr>
          <w:rFonts w:hint="eastAsia" w:ascii="仿宋" w:hAnsi="仿宋" w:eastAsia="仿宋" w:cs="仿宋"/>
          <w:b/>
          <w:bCs/>
          <w:color w:val="auto"/>
          <w:w w:val="90"/>
          <w:sz w:val="44"/>
          <w:szCs w:val="44"/>
          <w:highlight w:val="none"/>
          <w:lang w:eastAsia="zh-CN"/>
        </w:rPr>
        <w:t>G330铜陵段一级公路改建工程（一期）横埠至陈瑶湖段涉及500kV文官5391都山5392线143#塔改造</w:t>
      </w:r>
    </w:p>
    <w:p w14:paraId="644CF5E1">
      <w:pPr>
        <w:spacing w:beforeLines="20" w:afterLines="20" w:line="360" w:lineRule="auto"/>
        <w:jc w:val="center"/>
        <w:rPr>
          <w:rFonts w:ascii="仿宋" w:hAnsi="仿宋" w:eastAsia="仿宋" w:cs="仿宋"/>
          <w:b/>
          <w:bCs/>
          <w:color w:val="auto"/>
          <w:w w:val="90"/>
          <w:sz w:val="44"/>
          <w:szCs w:val="44"/>
          <w:highlight w:val="none"/>
        </w:rPr>
      </w:pPr>
      <w:r>
        <w:rPr>
          <w:rFonts w:hint="eastAsia" w:ascii="仿宋" w:hAnsi="仿宋" w:eastAsia="仿宋" w:cs="仿宋"/>
          <w:b/>
          <w:bCs/>
          <w:color w:val="auto"/>
          <w:w w:val="90"/>
          <w:sz w:val="44"/>
          <w:szCs w:val="44"/>
          <w:highlight w:val="none"/>
          <w:lang w:eastAsia="zh-CN"/>
        </w:rPr>
        <w:t>工程设计</w:t>
      </w:r>
      <w:r>
        <w:rPr>
          <w:rFonts w:hint="eastAsia" w:ascii="仿宋" w:hAnsi="仿宋" w:eastAsia="仿宋" w:cs="仿宋"/>
          <w:b/>
          <w:bCs/>
          <w:color w:val="auto"/>
          <w:w w:val="90"/>
          <w:sz w:val="44"/>
          <w:szCs w:val="44"/>
          <w:highlight w:val="none"/>
        </w:rPr>
        <w:t xml:space="preserve"> </w:t>
      </w:r>
    </w:p>
    <w:p w14:paraId="58703245">
      <w:pPr>
        <w:spacing w:beforeLines="20" w:afterLines="20" w:line="360" w:lineRule="auto"/>
        <w:jc w:val="center"/>
        <w:rPr>
          <w:rFonts w:ascii="仿宋" w:hAnsi="仿宋" w:eastAsia="仿宋" w:cs="仿宋"/>
          <w:b/>
          <w:bCs/>
          <w:color w:val="auto"/>
          <w:w w:val="90"/>
          <w:sz w:val="44"/>
          <w:szCs w:val="44"/>
          <w:highlight w:val="none"/>
        </w:rPr>
      </w:pPr>
      <w:r>
        <w:rPr>
          <w:rFonts w:hint="eastAsia" w:ascii="仿宋" w:hAnsi="仿宋" w:eastAsia="仿宋" w:cs="仿宋"/>
          <w:b/>
          <w:bCs/>
          <w:color w:val="auto"/>
          <w:w w:val="90"/>
          <w:sz w:val="44"/>
          <w:szCs w:val="44"/>
          <w:highlight w:val="none"/>
        </w:rPr>
        <w:t xml:space="preserve">  </w:t>
      </w:r>
    </w:p>
    <w:p w14:paraId="42C319BA">
      <w:pPr>
        <w:spacing w:line="480" w:lineRule="auto"/>
        <w:ind w:firstLine="2530" w:firstLineChars="300"/>
        <w:rPr>
          <w:rFonts w:ascii="仿宋" w:hAnsi="仿宋" w:eastAsia="仿宋" w:cs="仿宋"/>
          <w:b/>
          <w:bCs/>
          <w:color w:val="auto"/>
          <w:sz w:val="84"/>
          <w:szCs w:val="84"/>
          <w:highlight w:val="none"/>
        </w:rPr>
      </w:pPr>
    </w:p>
    <w:p w14:paraId="5DF1B14A">
      <w:pPr>
        <w:spacing w:line="480" w:lineRule="auto"/>
        <w:jc w:val="center"/>
        <w:rPr>
          <w:rFonts w:ascii="仿宋" w:hAnsi="仿宋" w:eastAsia="仿宋" w:cs="仿宋"/>
          <w:b/>
          <w:bCs/>
          <w:color w:val="auto"/>
          <w:sz w:val="84"/>
          <w:szCs w:val="84"/>
          <w:highlight w:val="none"/>
        </w:rPr>
      </w:pPr>
      <w:r>
        <w:rPr>
          <w:rFonts w:hint="eastAsia" w:ascii="仿宋" w:hAnsi="仿宋" w:eastAsia="仿宋" w:cs="仿宋"/>
          <w:b/>
          <w:bCs/>
          <w:color w:val="auto"/>
          <w:sz w:val="84"/>
          <w:szCs w:val="84"/>
          <w:highlight w:val="none"/>
        </w:rPr>
        <w:t>招 标 文 件</w:t>
      </w:r>
    </w:p>
    <w:p w14:paraId="396DC78E">
      <w:pPr>
        <w:spacing w:line="480" w:lineRule="auto"/>
        <w:jc w:val="center"/>
        <w:rPr>
          <w:rFonts w:ascii="仿宋" w:hAnsi="仿宋" w:eastAsia="仿宋" w:cs="仿宋"/>
          <w:b/>
          <w:bCs/>
          <w:color w:val="auto"/>
          <w:sz w:val="30"/>
          <w:szCs w:val="30"/>
          <w:highlight w:val="none"/>
        </w:rPr>
      </w:pPr>
    </w:p>
    <w:p w14:paraId="42185F8D">
      <w:pPr>
        <w:spacing w:line="480" w:lineRule="auto"/>
        <w:jc w:val="center"/>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招标编号：铜华诚招代 [</w:t>
      </w:r>
      <w:r>
        <w:rPr>
          <w:rFonts w:hint="eastAsia" w:ascii="仿宋" w:hAnsi="仿宋" w:eastAsia="仿宋" w:cs="仿宋"/>
          <w:b/>
          <w:bCs/>
          <w:color w:val="auto"/>
          <w:sz w:val="30"/>
          <w:szCs w:val="30"/>
          <w:highlight w:val="none"/>
          <w:lang w:eastAsia="zh-CN"/>
        </w:rPr>
        <w:t>2025</w:t>
      </w:r>
      <w:r>
        <w:rPr>
          <w:rFonts w:hint="eastAsia" w:ascii="仿宋" w:hAnsi="仿宋" w:eastAsia="仿宋" w:cs="仿宋"/>
          <w:b/>
          <w:bCs/>
          <w:color w:val="auto"/>
          <w:sz w:val="30"/>
          <w:szCs w:val="30"/>
          <w:highlight w:val="none"/>
        </w:rPr>
        <w:t>]第</w:t>
      </w:r>
      <w:r>
        <w:rPr>
          <w:rFonts w:hint="eastAsia" w:ascii="仿宋" w:hAnsi="仿宋" w:eastAsia="仿宋" w:cs="仿宋"/>
          <w:b/>
          <w:bCs/>
          <w:color w:val="auto"/>
          <w:sz w:val="30"/>
          <w:szCs w:val="30"/>
          <w:highlight w:val="none"/>
          <w:lang w:val="en-US" w:eastAsia="zh-CN"/>
        </w:rPr>
        <w:t>052</w:t>
      </w:r>
      <w:r>
        <w:rPr>
          <w:rFonts w:hint="eastAsia" w:ascii="仿宋" w:hAnsi="仿宋" w:eastAsia="仿宋" w:cs="仿宋"/>
          <w:b/>
          <w:bCs/>
          <w:color w:val="auto"/>
          <w:sz w:val="30"/>
          <w:szCs w:val="30"/>
          <w:highlight w:val="none"/>
        </w:rPr>
        <w:t>号</w:t>
      </w:r>
    </w:p>
    <w:p w14:paraId="02E595CD">
      <w:pPr>
        <w:spacing w:line="480" w:lineRule="auto"/>
        <w:ind w:firstLine="452" w:firstLineChars="150"/>
        <w:jc w:val="center"/>
        <w:rPr>
          <w:rFonts w:ascii="仿宋" w:hAnsi="仿宋" w:eastAsia="仿宋" w:cs="仿宋"/>
          <w:b/>
          <w:bCs/>
          <w:color w:val="auto"/>
          <w:sz w:val="30"/>
          <w:szCs w:val="30"/>
          <w:highlight w:val="none"/>
        </w:rPr>
      </w:pPr>
    </w:p>
    <w:p w14:paraId="6772F2B2">
      <w:pPr>
        <w:spacing w:line="480" w:lineRule="auto"/>
        <w:ind w:firstLine="452" w:firstLineChars="150"/>
        <w:jc w:val="center"/>
        <w:rPr>
          <w:rFonts w:ascii="仿宋" w:hAnsi="仿宋" w:eastAsia="仿宋" w:cs="仿宋"/>
          <w:b/>
          <w:bCs/>
          <w:color w:val="auto"/>
          <w:sz w:val="30"/>
          <w:szCs w:val="30"/>
          <w:highlight w:val="none"/>
        </w:rPr>
      </w:pPr>
    </w:p>
    <w:p w14:paraId="5CB8D521">
      <w:pPr>
        <w:spacing w:line="480" w:lineRule="auto"/>
        <w:rPr>
          <w:rFonts w:ascii="仿宋" w:hAnsi="仿宋" w:eastAsia="仿宋" w:cs="仿宋"/>
          <w:b/>
          <w:bCs/>
          <w:color w:val="auto"/>
          <w:sz w:val="30"/>
          <w:szCs w:val="30"/>
          <w:highlight w:val="none"/>
        </w:rPr>
      </w:pPr>
    </w:p>
    <w:p w14:paraId="61DAB9BB">
      <w:pPr>
        <w:spacing w:line="480" w:lineRule="auto"/>
        <w:ind w:firstLine="452" w:firstLineChars="150"/>
        <w:jc w:val="center"/>
        <w:rPr>
          <w:rFonts w:ascii="仿宋" w:hAnsi="仿宋" w:eastAsia="仿宋" w:cs="仿宋"/>
          <w:b/>
          <w:bCs/>
          <w:color w:val="auto"/>
          <w:sz w:val="30"/>
          <w:szCs w:val="30"/>
          <w:highlight w:val="none"/>
        </w:rPr>
      </w:pPr>
    </w:p>
    <w:p w14:paraId="0CBC5F9A">
      <w:pPr>
        <w:spacing w:line="480" w:lineRule="auto"/>
        <w:ind w:firstLine="1920" w:firstLineChars="600"/>
        <w:rPr>
          <w:rFonts w:ascii="仿宋" w:hAnsi="仿宋" w:eastAsia="仿宋" w:cs="仿宋"/>
          <w:bCs/>
          <w:color w:val="auto"/>
          <w:sz w:val="32"/>
          <w:szCs w:val="32"/>
          <w:highlight w:val="none"/>
          <w:u w:val="single"/>
        </w:rPr>
      </w:pPr>
      <w:r>
        <w:rPr>
          <w:rFonts w:hint="eastAsia" w:ascii="仿宋" w:hAnsi="仿宋" w:eastAsia="仿宋" w:cs="仿宋"/>
          <w:bCs/>
          <w:color w:val="auto"/>
          <w:sz w:val="32"/>
          <w:szCs w:val="32"/>
          <w:highlight w:val="none"/>
        </w:rPr>
        <w:t>招   标   人：</w:t>
      </w:r>
      <w:r>
        <w:rPr>
          <w:rFonts w:hint="eastAsia" w:ascii="仿宋" w:hAnsi="仿宋" w:eastAsia="仿宋" w:cs="仿宋"/>
          <w:bCs/>
          <w:color w:val="auto"/>
          <w:sz w:val="32"/>
          <w:szCs w:val="32"/>
          <w:highlight w:val="none"/>
          <w:u w:val="single"/>
          <w:lang w:eastAsia="zh-CN"/>
        </w:rPr>
        <w:t xml:space="preserve">铜陵市公路管理服务中心 </w:t>
      </w:r>
      <w:r>
        <w:rPr>
          <w:rFonts w:hint="eastAsia" w:ascii="仿宋" w:hAnsi="仿宋" w:eastAsia="仿宋" w:cs="仿宋"/>
          <w:bCs/>
          <w:color w:val="auto"/>
          <w:sz w:val="32"/>
          <w:szCs w:val="32"/>
          <w:highlight w:val="none"/>
          <w:u w:val="single"/>
        </w:rPr>
        <w:t xml:space="preserve"> </w:t>
      </w:r>
    </w:p>
    <w:p w14:paraId="77F4A1B0">
      <w:pPr>
        <w:spacing w:line="480" w:lineRule="auto"/>
        <w:ind w:firstLine="480" w:firstLineChars="150"/>
        <w:jc w:val="center"/>
        <w:rPr>
          <w:rFonts w:ascii="仿宋" w:hAnsi="仿宋" w:eastAsia="仿宋" w:cs="仿宋"/>
          <w:bCs/>
          <w:color w:val="auto"/>
          <w:sz w:val="32"/>
          <w:szCs w:val="32"/>
          <w:highlight w:val="none"/>
        </w:rPr>
      </w:pPr>
    </w:p>
    <w:p w14:paraId="6AE430F8">
      <w:pPr>
        <w:spacing w:line="480" w:lineRule="auto"/>
        <w:jc w:val="center"/>
        <w:rPr>
          <w:rFonts w:ascii="仿宋" w:hAnsi="仿宋" w:eastAsia="仿宋" w:cs="仿宋"/>
          <w:bCs/>
          <w:color w:val="auto"/>
          <w:sz w:val="28"/>
          <w:szCs w:val="28"/>
          <w:highlight w:val="none"/>
        </w:rPr>
      </w:pPr>
      <w:r>
        <w:rPr>
          <w:rFonts w:hint="eastAsia" w:ascii="仿宋" w:hAnsi="仿宋" w:eastAsia="仿宋" w:cs="仿宋"/>
          <w:bCs/>
          <w:color w:val="auto"/>
          <w:sz w:val="32"/>
          <w:szCs w:val="32"/>
          <w:highlight w:val="none"/>
        </w:rPr>
        <w:t>招标代理机构：</w:t>
      </w:r>
      <w:r>
        <w:rPr>
          <w:rFonts w:hint="eastAsia" w:ascii="仿宋" w:hAnsi="仿宋" w:eastAsia="仿宋" w:cs="仿宋"/>
          <w:bCs/>
          <w:color w:val="auto"/>
          <w:sz w:val="32"/>
          <w:szCs w:val="32"/>
          <w:highlight w:val="none"/>
          <w:u w:val="single"/>
        </w:rPr>
        <w:t xml:space="preserve">铜陵华诚工程咨询有限公司 </w:t>
      </w:r>
    </w:p>
    <w:p w14:paraId="2E8E36EE">
      <w:pPr>
        <w:spacing w:line="480" w:lineRule="auto"/>
        <w:jc w:val="center"/>
        <w:rPr>
          <w:rFonts w:ascii="仿宋" w:hAnsi="仿宋" w:eastAsia="仿宋" w:cs="仿宋"/>
          <w:bCs/>
          <w:color w:val="auto"/>
          <w:sz w:val="28"/>
          <w:szCs w:val="28"/>
          <w:highlight w:val="none"/>
        </w:rPr>
      </w:pPr>
    </w:p>
    <w:p w14:paraId="29B1B3F9">
      <w:pPr>
        <w:spacing w:line="480" w:lineRule="auto"/>
        <w:jc w:val="center"/>
        <w:rPr>
          <w:rFonts w:ascii="仿宋" w:hAnsi="仿宋" w:eastAsia="仿宋" w:cs="仿宋"/>
          <w:bCs/>
          <w:color w:val="auto"/>
          <w:sz w:val="32"/>
          <w:szCs w:val="32"/>
          <w:highlight w:val="none"/>
        </w:rPr>
      </w:pPr>
      <w:r>
        <w:rPr>
          <w:rFonts w:hint="eastAsia" w:ascii="仿宋" w:hAnsi="仿宋" w:eastAsia="仿宋" w:cs="仿宋"/>
          <w:b/>
          <w:bCs/>
          <w:color w:val="auto"/>
          <w:sz w:val="32"/>
          <w:szCs w:val="32"/>
          <w:highlight w:val="none"/>
        </w:rPr>
        <w:t>二0二</w:t>
      </w: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年</w:t>
      </w:r>
      <w:r>
        <w:rPr>
          <w:rFonts w:hint="eastAsia" w:ascii="仿宋" w:hAnsi="仿宋" w:eastAsia="仿宋" w:cs="仿宋"/>
          <w:b/>
          <w:bCs/>
          <w:color w:val="auto"/>
          <w:sz w:val="32"/>
          <w:szCs w:val="32"/>
          <w:highlight w:val="none"/>
          <w:lang w:val="en-US" w:eastAsia="zh-CN"/>
        </w:rPr>
        <w:t>九</w:t>
      </w:r>
      <w:r>
        <w:rPr>
          <w:rFonts w:hint="eastAsia" w:ascii="仿宋" w:hAnsi="仿宋" w:eastAsia="仿宋" w:cs="仿宋"/>
          <w:b/>
          <w:bCs/>
          <w:color w:val="auto"/>
          <w:sz w:val="32"/>
          <w:szCs w:val="32"/>
          <w:highlight w:val="none"/>
        </w:rPr>
        <w:t>月</w:t>
      </w:r>
    </w:p>
    <w:p w14:paraId="04904A65">
      <w:pPr>
        <w:spacing w:line="600" w:lineRule="atLeast"/>
        <w:ind w:right="112" w:rightChars="56"/>
        <w:jc w:val="center"/>
        <w:rPr>
          <w:rFonts w:ascii="仿宋" w:hAnsi="仿宋" w:eastAsia="仿宋" w:cs="仿宋"/>
          <w:b/>
          <w:bCs/>
          <w:color w:val="auto"/>
          <w:sz w:val="44"/>
          <w:szCs w:val="44"/>
          <w:highlight w:val="none"/>
        </w:rPr>
      </w:pPr>
    </w:p>
    <w:p w14:paraId="2FC5C2A6">
      <w:pPr>
        <w:spacing w:line="600" w:lineRule="atLeast"/>
        <w:ind w:right="112" w:rightChars="56"/>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目     录</w:t>
      </w:r>
    </w:p>
    <w:p w14:paraId="356A801E">
      <w:pPr>
        <w:pStyle w:val="13"/>
        <w:rPr>
          <w:color w:val="auto"/>
          <w:highlight w:val="none"/>
        </w:rPr>
      </w:pPr>
    </w:p>
    <w:sdt>
      <w:sdtPr>
        <w:rPr>
          <w:rFonts w:ascii="宋体" w:hAnsi="宋体"/>
          <w:color w:val="auto"/>
          <w:sz w:val="21"/>
          <w:highlight w:val="none"/>
        </w:rPr>
        <w:id w:val="147452681"/>
        <w:docPartObj>
          <w:docPartGallery w:val="Table of Contents"/>
          <w:docPartUnique/>
        </w:docPartObj>
      </w:sdtPr>
      <w:sdtEndPr>
        <w:rPr>
          <w:rFonts w:ascii="Times New Roman" w:hAnsi="Times New Roman"/>
          <w:color w:val="auto"/>
          <w:sz w:val="20"/>
          <w:highlight w:val="none"/>
        </w:rPr>
      </w:sdtEndPr>
      <w:sdtContent>
        <w:p w14:paraId="6DE9FBC8">
          <w:pPr>
            <w:pStyle w:val="56"/>
            <w:tabs>
              <w:tab w:val="right" w:leader="dot" w:pos="9752"/>
            </w:tabs>
            <w:rPr>
              <w:color w:val="auto"/>
              <w:highlight w:val="none"/>
            </w:rPr>
          </w:pPr>
          <w:bookmarkStart w:id="0" w:name="_Toc7885_WPSOffice_Type1"/>
        </w:p>
        <w:p w14:paraId="14143298">
          <w:pPr>
            <w:pStyle w:val="56"/>
            <w:tabs>
              <w:tab w:val="right" w:leader="dot" w:pos="9752"/>
            </w:tabs>
            <w:spacing w:line="840" w:lineRule="auto"/>
            <w:jc w:val="center"/>
            <w:rPr>
              <w:rFonts w:ascii="仿宋" w:hAnsi="仿宋" w:eastAsia="仿宋" w:cs="仿宋"/>
              <w:b/>
              <w:bCs/>
              <w:color w:val="auto"/>
              <w:sz w:val="30"/>
              <w:szCs w:val="30"/>
              <w:highlight w:val="none"/>
            </w:rPr>
          </w:pPr>
          <w:r>
            <w:rPr>
              <w:color w:val="auto"/>
              <w:highlight w:val="none"/>
            </w:rPr>
            <w:fldChar w:fldCharType="begin"/>
          </w:r>
          <w:r>
            <w:rPr>
              <w:color w:val="auto"/>
              <w:highlight w:val="none"/>
            </w:rPr>
            <w:instrText xml:space="preserve"> HYPERLINK \l "_Toc17618_WPSOffice_Level1" </w:instrText>
          </w:r>
          <w:r>
            <w:rPr>
              <w:color w:val="auto"/>
              <w:highlight w:val="none"/>
            </w:rPr>
            <w:fldChar w:fldCharType="separate"/>
          </w:r>
          <w:r>
            <w:rPr>
              <w:rFonts w:hint="eastAsia" w:ascii="仿宋" w:hAnsi="仿宋" w:eastAsia="仿宋" w:cs="仿宋"/>
              <w:b/>
              <w:bCs/>
              <w:color w:val="auto"/>
              <w:sz w:val="30"/>
              <w:szCs w:val="30"/>
              <w:highlight w:val="none"/>
            </w:rPr>
            <w:t>第一章  招标公告</w:t>
          </w:r>
          <w:r>
            <w:rPr>
              <w:rFonts w:hint="eastAsia" w:ascii="仿宋" w:hAnsi="仿宋" w:eastAsia="仿宋" w:cs="仿宋"/>
              <w:b/>
              <w:bCs/>
              <w:color w:val="auto"/>
              <w:sz w:val="30"/>
              <w:szCs w:val="30"/>
              <w:highlight w:val="none"/>
            </w:rPr>
            <w:tab/>
          </w:r>
          <w:r>
            <w:rPr>
              <w:rFonts w:hint="eastAsia" w:ascii="仿宋" w:hAnsi="仿宋" w:eastAsia="仿宋" w:cs="仿宋"/>
              <w:b/>
              <w:bCs/>
              <w:color w:val="auto"/>
              <w:sz w:val="30"/>
              <w:szCs w:val="30"/>
              <w:highlight w:val="none"/>
            </w:rPr>
            <w:t>3</w:t>
          </w:r>
          <w:r>
            <w:rPr>
              <w:rFonts w:hint="eastAsia" w:ascii="仿宋" w:hAnsi="仿宋" w:eastAsia="仿宋" w:cs="仿宋"/>
              <w:b/>
              <w:bCs/>
              <w:color w:val="auto"/>
              <w:sz w:val="30"/>
              <w:szCs w:val="30"/>
              <w:highlight w:val="none"/>
            </w:rPr>
            <w:fldChar w:fldCharType="end"/>
          </w:r>
        </w:p>
        <w:p w14:paraId="6C96CCA1">
          <w:pPr>
            <w:pStyle w:val="56"/>
            <w:tabs>
              <w:tab w:val="right" w:leader="dot" w:pos="9752"/>
            </w:tabs>
            <w:spacing w:line="840" w:lineRule="auto"/>
            <w:jc w:val="center"/>
            <w:rPr>
              <w:rFonts w:ascii="仿宋" w:hAnsi="仿宋" w:eastAsia="仿宋" w:cs="仿宋"/>
              <w:b/>
              <w:bCs/>
              <w:color w:val="auto"/>
              <w:sz w:val="30"/>
              <w:szCs w:val="30"/>
              <w:highlight w:val="none"/>
            </w:rPr>
          </w:pPr>
          <w:r>
            <w:rPr>
              <w:color w:val="auto"/>
              <w:highlight w:val="none"/>
            </w:rPr>
            <w:fldChar w:fldCharType="begin"/>
          </w:r>
          <w:r>
            <w:rPr>
              <w:color w:val="auto"/>
              <w:highlight w:val="none"/>
            </w:rPr>
            <w:instrText xml:space="preserve"> HYPERLINK \l "_Toc7278_WPSOffice_Level1" </w:instrText>
          </w:r>
          <w:r>
            <w:rPr>
              <w:color w:val="auto"/>
              <w:highlight w:val="none"/>
            </w:rPr>
            <w:fldChar w:fldCharType="separate"/>
          </w:r>
          <w:r>
            <w:rPr>
              <w:rFonts w:hint="eastAsia" w:ascii="仿宋" w:hAnsi="仿宋" w:eastAsia="仿宋" w:cs="仿宋"/>
              <w:b/>
              <w:bCs/>
              <w:color w:val="auto"/>
              <w:sz w:val="30"/>
              <w:szCs w:val="30"/>
              <w:highlight w:val="none"/>
            </w:rPr>
            <w:t>第二章  投标须知及投标须知前附表</w:t>
          </w:r>
          <w:r>
            <w:rPr>
              <w:rFonts w:hint="eastAsia" w:ascii="仿宋" w:hAnsi="仿宋" w:eastAsia="仿宋" w:cs="仿宋"/>
              <w:b/>
              <w:bCs/>
              <w:color w:val="auto"/>
              <w:sz w:val="30"/>
              <w:szCs w:val="30"/>
              <w:highlight w:val="none"/>
            </w:rPr>
            <w:tab/>
          </w:r>
          <w:r>
            <w:rPr>
              <w:rFonts w:hint="eastAsia" w:ascii="仿宋" w:hAnsi="仿宋" w:eastAsia="仿宋" w:cs="仿宋"/>
              <w:b/>
              <w:bCs/>
              <w:color w:val="auto"/>
              <w:sz w:val="30"/>
              <w:szCs w:val="30"/>
              <w:highlight w:val="none"/>
            </w:rPr>
            <w:t>7</w:t>
          </w:r>
          <w:r>
            <w:rPr>
              <w:rFonts w:hint="eastAsia" w:ascii="仿宋" w:hAnsi="仿宋" w:eastAsia="仿宋" w:cs="仿宋"/>
              <w:b/>
              <w:bCs/>
              <w:color w:val="auto"/>
              <w:sz w:val="30"/>
              <w:szCs w:val="30"/>
              <w:highlight w:val="none"/>
            </w:rPr>
            <w:fldChar w:fldCharType="end"/>
          </w:r>
        </w:p>
        <w:p w14:paraId="69FFA04E">
          <w:pPr>
            <w:pStyle w:val="56"/>
            <w:tabs>
              <w:tab w:val="right" w:leader="dot" w:pos="9752"/>
            </w:tabs>
            <w:spacing w:line="840" w:lineRule="auto"/>
            <w:jc w:val="center"/>
            <w:rPr>
              <w:rFonts w:ascii="仿宋" w:hAnsi="仿宋" w:eastAsia="仿宋" w:cs="仿宋"/>
              <w:b/>
              <w:bCs/>
              <w:color w:val="auto"/>
              <w:sz w:val="30"/>
              <w:szCs w:val="30"/>
              <w:highlight w:val="none"/>
            </w:rPr>
          </w:pPr>
          <w:r>
            <w:rPr>
              <w:color w:val="auto"/>
              <w:highlight w:val="none"/>
            </w:rPr>
            <w:fldChar w:fldCharType="begin"/>
          </w:r>
          <w:r>
            <w:rPr>
              <w:color w:val="auto"/>
              <w:highlight w:val="none"/>
            </w:rPr>
            <w:instrText xml:space="preserve"> HYPERLINK \l "_Toc25055_WPSOffice_Level1" </w:instrText>
          </w:r>
          <w:r>
            <w:rPr>
              <w:color w:val="auto"/>
              <w:highlight w:val="none"/>
            </w:rPr>
            <w:fldChar w:fldCharType="separate"/>
          </w:r>
          <w:r>
            <w:rPr>
              <w:rFonts w:hint="eastAsia" w:ascii="仿宋" w:hAnsi="仿宋" w:eastAsia="仿宋" w:cs="仿宋"/>
              <w:b/>
              <w:bCs/>
              <w:color w:val="auto"/>
              <w:sz w:val="30"/>
              <w:szCs w:val="30"/>
              <w:highlight w:val="none"/>
            </w:rPr>
            <w:t>第三章  评标办法和标准</w:t>
          </w:r>
          <w:r>
            <w:rPr>
              <w:rFonts w:hint="eastAsia" w:ascii="仿宋" w:hAnsi="仿宋" w:eastAsia="仿宋" w:cs="仿宋"/>
              <w:b/>
              <w:bCs/>
              <w:color w:val="auto"/>
              <w:sz w:val="30"/>
              <w:szCs w:val="30"/>
              <w:highlight w:val="none"/>
            </w:rPr>
            <w:tab/>
          </w:r>
          <w:bookmarkStart w:id="1" w:name="_Toc25055_WPSOffice_Level1Page"/>
          <w:r>
            <w:rPr>
              <w:rFonts w:hint="eastAsia" w:ascii="仿宋" w:hAnsi="仿宋" w:eastAsia="仿宋" w:cs="仿宋"/>
              <w:b/>
              <w:bCs/>
              <w:color w:val="auto"/>
              <w:sz w:val="30"/>
              <w:szCs w:val="30"/>
              <w:highlight w:val="none"/>
            </w:rPr>
            <w:t>2</w:t>
          </w:r>
          <w:bookmarkEnd w:id="1"/>
          <w:r>
            <w:rPr>
              <w:rFonts w:hint="eastAsia" w:ascii="仿宋" w:hAnsi="仿宋" w:eastAsia="仿宋" w:cs="仿宋"/>
              <w:b/>
              <w:bCs/>
              <w:color w:val="auto"/>
              <w:sz w:val="30"/>
              <w:szCs w:val="30"/>
              <w:highlight w:val="none"/>
            </w:rPr>
            <w:t>5</w:t>
          </w:r>
          <w:r>
            <w:rPr>
              <w:rFonts w:hint="eastAsia" w:ascii="仿宋" w:hAnsi="仿宋" w:eastAsia="仿宋" w:cs="仿宋"/>
              <w:b/>
              <w:bCs/>
              <w:color w:val="auto"/>
              <w:sz w:val="30"/>
              <w:szCs w:val="30"/>
              <w:highlight w:val="none"/>
            </w:rPr>
            <w:fldChar w:fldCharType="end"/>
          </w:r>
        </w:p>
        <w:p w14:paraId="355E927D">
          <w:pPr>
            <w:pStyle w:val="56"/>
            <w:tabs>
              <w:tab w:val="right" w:leader="dot" w:pos="9752"/>
            </w:tabs>
            <w:spacing w:line="840" w:lineRule="auto"/>
            <w:jc w:val="center"/>
            <w:rPr>
              <w:rFonts w:ascii="仿宋" w:hAnsi="仿宋" w:eastAsia="仿宋" w:cs="仿宋"/>
              <w:b/>
              <w:bCs/>
              <w:color w:val="auto"/>
              <w:sz w:val="30"/>
              <w:szCs w:val="30"/>
              <w:highlight w:val="none"/>
            </w:rPr>
          </w:pPr>
          <w:r>
            <w:rPr>
              <w:color w:val="auto"/>
              <w:highlight w:val="none"/>
            </w:rPr>
            <w:fldChar w:fldCharType="begin"/>
          </w:r>
          <w:r>
            <w:rPr>
              <w:color w:val="auto"/>
              <w:highlight w:val="none"/>
            </w:rPr>
            <w:instrText xml:space="preserve"> HYPERLINK \l "_Toc29613_WPSOffice_Level1" </w:instrText>
          </w:r>
          <w:r>
            <w:rPr>
              <w:color w:val="auto"/>
              <w:highlight w:val="none"/>
            </w:rPr>
            <w:fldChar w:fldCharType="separate"/>
          </w:r>
          <w:r>
            <w:rPr>
              <w:rFonts w:hint="eastAsia" w:ascii="仿宋" w:hAnsi="仿宋" w:eastAsia="仿宋" w:cs="仿宋"/>
              <w:b/>
              <w:bCs/>
              <w:color w:val="auto"/>
              <w:sz w:val="30"/>
              <w:szCs w:val="30"/>
              <w:highlight w:val="none"/>
            </w:rPr>
            <w:t>第四章  合同条款及格式</w:t>
          </w:r>
          <w:r>
            <w:rPr>
              <w:rFonts w:hint="eastAsia" w:ascii="仿宋" w:hAnsi="仿宋" w:eastAsia="仿宋" w:cs="仿宋"/>
              <w:b/>
              <w:bCs/>
              <w:color w:val="auto"/>
              <w:sz w:val="30"/>
              <w:szCs w:val="30"/>
              <w:highlight w:val="none"/>
            </w:rPr>
            <w:tab/>
          </w:r>
          <w:bookmarkStart w:id="2" w:name="_Toc29613_WPSOffice_Level1Page"/>
          <w:r>
            <w:rPr>
              <w:rFonts w:hint="eastAsia" w:ascii="仿宋" w:hAnsi="仿宋" w:eastAsia="仿宋" w:cs="仿宋"/>
              <w:b/>
              <w:bCs/>
              <w:color w:val="auto"/>
              <w:sz w:val="30"/>
              <w:szCs w:val="30"/>
              <w:highlight w:val="none"/>
            </w:rPr>
            <w:t>3</w:t>
          </w:r>
          <w:bookmarkEnd w:id="2"/>
          <w:r>
            <w:rPr>
              <w:rFonts w:hint="eastAsia" w:ascii="仿宋" w:hAnsi="仿宋" w:eastAsia="仿宋" w:cs="仿宋"/>
              <w:b/>
              <w:bCs/>
              <w:color w:val="auto"/>
              <w:sz w:val="30"/>
              <w:szCs w:val="30"/>
              <w:highlight w:val="none"/>
            </w:rPr>
            <w:t>4</w:t>
          </w:r>
          <w:r>
            <w:rPr>
              <w:rFonts w:hint="eastAsia" w:ascii="仿宋" w:hAnsi="仿宋" w:eastAsia="仿宋" w:cs="仿宋"/>
              <w:b/>
              <w:bCs/>
              <w:color w:val="auto"/>
              <w:sz w:val="30"/>
              <w:szCs w:val="30"/>
              <w:highlight w:val="none"/>
            </w:rPr>
            <w:fldChar w:fldCharType="end"/>
          </w:r>
        </w:p>
        <w:p w14:paraId="5BECC6E3">
          <w:pPr>
            <w:pStyle w:val="56"/>
            <w:tabs>
              <w:tab w:val="right" w:leader="dot" w:pos="9752"/>
            </w:tabs>
            <w:spacing w:line="840" w:lineRule="auto"/>
            <w:jc w:val="center"/>
            <w:rPr>
              <w:rFonts w:ascii="仿宋" w:hAnsi="仿宋" w:eastAsia="仿宋" w:cs="仿宋"/>
              <w:b/>
              <w:bCs/>
              <w:color w:val="auto"/>
              <w:sz w:val="30"/>
              <w:szCs w:val="30"/>
              <w:highlight w:val="none"/>
            </w:rPr>
          </w:pPr>
          <w:r>
            <w:rPr>
              <w:color w:val="auto"/>
              <w:highlight w:val="none"/>
            </w:rPr>
            <w:fldChar w:fldCharType="begin"/>
          </w:r>
          <w:r>
            <w:rPr>
              <w:color w:val="auto"/>
              <w:highlight w:val="none"/>
            </w:rPr>
            <w:instrText xml:space="preserve"> HYPERLINK \l "_Toc785_WPSOffice_Level1" </w:instrText>
          </w:r>
          <w:r>
            <w:rPr>
              <w:color w:val="auto"/>
              <w:highlight w:val="none"/>
            </w:rPr>
            <w:fldChar w:fldCharType="separate"/>
          </w:r>
          <w:r>
            <w:rPr>
              <w:rFonts w:hint="eastAsia" w:ascii="仿宋" w:hAnsi="仿宋" w:eastAsia="仿宋" w:cs="仿宋"/>
              <w:b/>
              <w:bCs/>
              <w:color w:val="auto"/>
              <w:sz w:val="30"/>
              <w:szCs w:val="30"/>
              <w:highlight w:val="none"/>
            </w:rPr>
            <w:t>第五章  投标文件格式</w:t>
          </w:r>
          <w:r>
            <w:rPr>
              <w:rFonts w:hint="eastAsia" w:ascii="仿宋" w:hAnsi="仿宋" w:eastAsia="仿宋" w:cs="仿宋"/>
              <w:b/>
              <w:bCs/>
              <w:color w:val="auto"/>
              <w:sz w:val="30"/>
              <w:szCs w:val="30"/>
              <w:highlight w:val="none"/>
            </w:rPr>
            <w:tab/>
          </w:r>
          <w:bookmarkStart w:id="3" w:name="_Toc785_WPSOffice_Level1Page"/>
          <w:r>
            <w:rPr>
              <w:rFonts w:hint="eastAsia" w:ascii="仿宋" w:hAnsi="仿宋" w:eastAsia="仿宋" w:cs="仿宋"/>
              <w:b/>
              <w:bCs/>
              <w:color w:val="auto"/>
              <w:sz w:val="30"/>
              <w:szCs w:val="30"/>
              <w:highlight w:val="none"/>
            </w:rPr>
            <w:t>4</w:t>
          </w:r>
          <w:bookmarkEnd w:id="3"/>
          <w:r>
            <w:rPr>
              <w:rFonts w:hint="eastAsia" w:ascii="仿宋" w:hAnsi="仿宋" w:eastAsia="仿宋" w:cs="仿宋"/>
              <w:b/>
              <w:bCs/>
              <w:color w:val="auto"/>
              <w:sz w:val="30"/>
              <w:szCs w:val="30"/>
              <w:highlight w:val="none"/>
            </w:rPr>
            <w:t>8</w:t>
          </w:r>
          <w:r>
            <w:rPr>
              <w:rFonts w:hint="eastAsia" w:ascii="仿宋" w:hAnsi="仿宋" w:eastAsia="仿宋" w:cs="仿宋"/>
              <w:b/>
              <w:bCs/>
              <w:color w:val="auto"/>
              <w:sz w:val="30"/>
              <w:szCs w:val="30"/>
              <w:highlight w:val="none"/>
            </w:rPr>
            <w:fldChar w:fldCharType="end"/>
          </w:r>
        </w:p>
        <w:p w14:paraId="7FA9D6BC">
          <w:pPr>
            <w:pStyle w:val="56"/>
            <w:tabs>
              <w:tab w:val="right" w:leader="dot" w:pos="9752"/>
            </w:tabs>
            <w:spacing w:line="840" w:lineRule="auto"/>
            <w:jc w:val="center"/>
            <w:rPr>
              <w:color w:val="auto"/>
              <w:highlight w:val="none"/>
            </w:rPr>
          </w:pPr>
          <w:r>
            <w:rPr>
              <w:color w:val="auto"/>
              <w:highlight w:val="none"/>
            </w:rPr>
            <w:fldChar w:fldCharType="begin"/>
          </w:r>
          <w:r>
            <w:rPr>
              <w:color w:val="auto"/>
              <w:highlight w:val="none"/>
            </w:rPr>
            <w:instrText xml:space="preserve"> HYPERLINK \l "_Toc785_WPSOffice_Level1" </w:instrText>
          </w:r>
          <w:r>
            <w:rPr>
              <w:color w:val="auto"/>
              <w:highlight w:val="none"/>
            </w:rPr>
            <w:fldChar w:fldCharType="separate"/>
          </w:r>
          <w:r>
            <w:rPr>
              <w:rFonts w:hint="eastAsia" w:ascii="仿宋" w:hAnsi="仿宋" w:eastAsia="仿宋" w:cs="仿宋"/>
              <w:b/>
              <w:bCs/>
              <w:color w:val="auto"/>
              <w:sz w:val="30"/>
              <w:szCs w:val="30"/>
              <w:highlight w:val="none"/>
            </w:rPr>
            <w:t>第六章  设计任务书</w:t>
          </w:r>
          <w:r>
            <w:rPr>
              <w:rFonts w:hint="eastAsia" w:ascii="仿宋" w:hAnsi="仿宋" w:eastAsia="仿宋" w:cs="仿宋"/>
              <w:b/>
              <w:bCs/>
              <w:color w:val="auto"/>
              <w:sz w:val="30"/>
              <w:szCs w:val="30"/>
              <w:highlight w:val="none"/>
            </w:rPr>
            <w:tab/>
          </w:r>
          <w:r>
            <w:rPr>
              <w:rFonts w:hint="eastAsia" w:ascii="仿宋" w:hAnsi="仿宋" w:eastAsia="仿宋" w:cs="仿宋"/>
              <w:b/>
              <w:bCs/>
              <w:color w:val="auto"/>
              <w:sz w:val="30"/>
              <w:szCs w:val="30"/>
              <w:highlight w:val="none"/>
            </w:rPr>
            <w:t>48</w:t>
          </w:r>
          <w:r>
            <w:rPr>
              <w:rFonts w:hint="eastAsia" w:ascii="仿宋" w:hAnsi="仿宋" w:eastAsia="仿宋" w:cs="仿宋"/>
              <w:b/>
              <w:bCs/>
              <w:color w:val="auto"/>
              <w:sz w:val="30"/>
              <w:szCs w:val="30"/>
              <w:highlight w:val="none"/>
            </w:rPr>
            <w:fldChar w:fldCharType="end"/>
          </w:r>
        </w:p>
      </w:sdtContent>
    </w:sdt>
    <w:bookmarkEnd w:id="0"/>
    <w:p w14:paraId="319C1491">
      <w:pPr>
        <w:pStyle w:val="56"/>
        <w:tabs>
          <w:tab w:val="right" w:leader="dot" w:pos="9752"/>
        </w:tabs>
        <w:rPr>
          <w:rFonts w:ascii="仿宋" w:hAnsi="仿宋" w:eastAsia="仿宋" w:cs="仿宋"/>
          <w:color w:val="auto"/>
          <w:highlight w:val="none"/>
        </w:rPr>
      </w:pPr>
    </w:p>
    <w:p w14:paraId="0E7F5D8D">
      <w:pPr>
        <w:pStyle w:val="56"/>
        <w:tabs>
          <w:tab w:val="right" w:leader="dot" w:pos="9752"/>
        </w:tabs>
        <w:spacing w:line="840" w:lineRule="auto"/>
        <w:jc w:val="center"/>
        <w:rPr>
          <w:rFonts w:ascii="仿宋" w:hAnsi="仿宋" w:eastAsia="仿宋" w:cs="仿宋"/>
          <w:b/>
          <w:bCs/>
          <w:color w:val="auto"/>
          <w:sz w:val="30"/>
          <w:szCs w:val="30"/>
          <w:highlight w:val="none"/>
        </w:rPr>
      </w:pPr>
    </w:p>
    <w:p w14:paraId="6DCC1957">
      <w:pPr>
        <w:spacing w:line="360" w:lineRule="auto"/>
        <w:jc w:val="center"/>
        <w:rPr>
          <w:rFonts w:ascii="仿宋" w:hAnsi="仿宋" w:eastAsia="仿宋" w:cs="仿宋"/>
          <w:b/>
          <w:color w:val="auto"/>
          <w:sz w:val="24"/>
          <w:szCs w:val="24"/>
          <w:highlight w:val="none"/>
        </w:rPr>
      </w:pPr>
      <w:bookmarkStart w:id="4" w:name="_Toc1338"/>
    </w:p>
    <w:p w14:paraId="2ED7A96B">
      <w:pPr>
        <w:spacing w:line="360" w:lineRule="auto"/>
        <w:jc w:val="center"/>
        <w:rPr>
          <w:rFonts w:ascii="仿宋" w:hAnsi="仿宋" w:eastAsia="仿宋" w:cs="仿宋"/>
          <w:b/>
          <w:color w:val="auto"/>
          <w:sz w:val="30"/>
          <w:szCs w:val="30"/>
          <w:highlight w:val="none"/>
        </w:rPr>
      </w:pPr>
      <w:r>
        <w:rPr>
          <w:rFonts w:hint="eastAsia" w:ascii="仿宋" w:hAnsi="仿宋" w:eastAsia="仿宋" w:cs="仿宋"/>
          <w:b/>
          <w:color w:val="auto"/>
          <w:sz w:val="24"/>
          <w:szCs w:val="24"/>
          <w:highlight w:val="none"/>
        </w:rPr>
        <w:br w:type="page"/>
      </w:r>
      <w:bookmarkStart w:id="5" w:name="_Toc17618_WPSOffice_Level1"/>
      <w:r>
        <w:rPr>
          <w:rFonts w:hint="eastAsia" w:ascii="仿宋" w:hAnsi="仿宋" w:eastAsia="仿宋" w:cs="仿宋"/>
          <w:b/>
          <w:color w:val="auto"/>
          <w:sz w:val="30"/>
          <w:szCs w:val="30"/>
          <w:highlight w:val="none"/>
        </w:rPr>
        <w:t>第一章  招标公告</w:t>
      </w:r>
      <w:bookmarkEnd w:id="4"/>
      <w:bookmarkEnd w:id="5"/>
    </w:p>
    <w:p w14:paraId="5F3915EC">
      <w:pPr>
        <w:pStyle w:val="35"/>
        <w:spacing w:line="470" w:lineRule="exact"/>
        <w:ind w:left="0" w:leftChars="0" w:firstLine="0" w:firstLineChars="0"/>
        <w:jc w:val="center"/>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eastAsia="zh-CN"/>
        </w:rPr>
        <w:t>G330铜陵段一级公路改建工程（一期）横埠至陈瑶湖段涉及500kV文官5391都山5392线143#塔改造工程设计</w:t>
      </w:r>
    </w:p>
    <w:p w14:paraId="28348B78">
      <w:pPr>
        <w:pStyle w:val="35"/>
        <w:spacing w:line="470" w:lineRule="exact"/>
        <w:ind w:left="0" w:leftChars="0" w:firstLine="0" w:firstLineChars="0"/>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招标公告</w:t>
      </w:r>
    </w:p>
    <w:p w14:paraId="4F260CDB">
      <w:pPr>
        <w:rPr>
          <w:color w:val="auto"/>
          <w:highlight w:val="none"/>
        </w:rPr>
      </w:pPr>
    </w:p>
    <w:p w14:paraId="7E3F6F92">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招标编号：铜华诚招代 [</w:t>
      </w:r>
      <w:r>
        <w:rPr>
          <w:rFonts w:hint="eastAsia" w:ascii="仿宋" w:hAnsi="仿宋" w:eastAsia="仿宋" w:cs="仿宋"/>
          <w:color w:val="auto"/>
          <w:sz w:val="24"/>
          <w:szCs w:val="24"/>
          <w:highlight w:val="none"/>
          <w:lang w:eastAsia="zh-CN"/>
        </w:rPr>
        <w:t>2025</w:t>
      </w:r>
      <w:r>
        <w:rPr>
          <w:rFonts w:hint="eastAsia" w:ascii="仿宋" w:hAnsi="仿宋" w:eastAsia="仿宋" w:cs="仿宋"/>
          <w:color w:val="auto"/>
          <w:sz w:val="24"/>
          <w:szCs w:val="24"/>
          <w:highlight w:val="none"/>
        </w:rPr>
        <w:t>]第</w:t>
      </w:r>
      <w:r>
        <w:rPr>
          <w:rFonts w:hint="eastAsia" w:ascii="仿宋" w:hAnsi="仿宋" w:eastAsia="仿宋" w:cs="仿宋"/>
          <w:color w:val="auto"/>
          <w:sz w:val="24"/>
          <w:szCs w:val="24"/>
          <w:highlight w:val="none"/>
          <w:lang w:val="en-US" w:eastAsia="zh-CN"/>
        </w:rPr>
        <w:t>052</w:t>
      </w:r>
      <w:r>
        <w:rPr>
          <w:rFonts w:hint="eastAsia" w:ascii="仿宋" w:hAnsi="仿宋" w:eastAsia="仿宋" w:cs="仿宋"/>
          <w:color w:val="auto"/>
          <w:sz w:val="24"/>
          <w:szCs w:val="24"/>
          <w:highlight w:val="none"/>
        </w:rPr>
        <w:t>号</w:t>
      </w:r>
    </w:p>
    <w:p w14:paraId="3DA84436">
      <w:pPr>
        <w:keepNext w:val="0"/>
        <w:keepLines w:val="0"/>
        <w:pageBreakBefore w:val="0"/>
        <w:widowControl/>
        <w:kinsoku/>
        <w:wordWrap/>
        <w:overflowPunct/>
        <w:topLinePunct w:val="0"/>
        <w:autoSpaceDE/>
        <w:autoSpaceDN/>
        <w:bidi w:val="0"/>
        <w:adjustRightInd w:val="0"/>
        <w:snapToGrid/>
        <w:spacing w:line="450" w:lineRule="exact"/>
        <w:ind w:firstLine="482" w:firstLineChars="200"/>
        <w:jc w:val="left"/>
        <w:textAlignment w:val="baseline"/>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一、招标条件</w:t>
      </w:r>
    </w:p>
    <w:p w14:paraId="4AD29C02">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工程名称：</w:t>
      </w:r>
      <w:r>
        <w:rPr>
          <w:rFonts w:hint="eastAsia" w:ascii="仿宋" w:hAnsi="仿宋" w:eastAsia="仿宋" w:cs="仿宋"/>
          <w:color w:val="auto"/>
          <w:sz w:val="24"/>
          <w:szCs w:val="24"/>
          <w:highlight w:val="none"/>
          <w:lang w:eastAsia="zh-CN"/>
        </w:rPr>
        <w:t>G330铜陵段一级公路改建工程（一期）横埠至陈瑶湖段涉及500kV文官5391都山5392线143#塔改造工程设计</w:t>
      </w:r>
      <w:r>
        <w:rPr>
          <w:rFonts w:hint="eastAsia" w:ascii="仿宋" w:hAnsi="仿宋" w:eastAsia="仿宋" w:cs="仿宋"/>
          <w:color w:val="auto"/>
          <w:sz w:val="24"/>
          <w:szCs w:val="24"/>
          <w:highlight w:val="none"/>
        </w:rPr>
        <w:t>招标</w:t>
      </w:r>
    </w:p>
    <w:p w14:paraId="3BAD51FC">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招标人：</w:t>
      </w:r>
      <w:r>
        <w:rPr>
          <w:rFonts w:hint="eastAsia" w:ascii="仿宋" w:hAnsi="仿宋" w:eastAsia="仿宋" w:cs="仿宋"/>
          <w:color w:val="auto"/>
          <w:sz w:val="24"/>
          <w:szCs w:val="24"/>
          <w:highlight w:val="none"/>
          <w:lang w:eastAsia="zh-CN"/>
        </w:rPr>
        <w:t xml:space="preserve">铜陵市公路管理服务中心 </w:t>
      </w:r>
    </w:p>
    <w:p w14:paraId="39C6132A">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资金来源：</w:t>
      </w:r>
      <w:r>
        <w:rPr>
          <w:rFonts w:hint="eastAsia" w:ascii="仿宋" w:hAnsi="仿宋" w:eastAsia="仿宋" w:cs="仿宋"/>
          <w:color w:val="auto"/>
          <w:sz w:val="24"/>
          <w:szCs w:val="24"/>
          <w:highlight w:val="none"/>
          <w:lang w:val="en-US" w:eastAsia="zh-CN"/>
        </w:rPr>
        <w:t>自筹资金</w:t>
      </w:r>
    </w:p>
    <w:p w14:paraId="7BD261E7">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交易项目性质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工程勘察设计</w:t>
      </w:r>
    </w:p>
    <w:p w14:paraId="0C7E29D2">
      <w:pPr>
        <w:keepNext w:val="0"/>
        <w:keepLines w:val="0"/>
        <w:pageBreakBefore w:val="0"/>
        <w:widowControl/>
        <w:kinsoku/>
        <w:wordWrap/>
        <w:overflowPunct/>
        <w:topLinePunct w:val="0"/>
        <w:autoSpaceDE/>
        <w:autoSpaceDN/>
        <w:bidi w:val="0"/>
        <w:adjustRightInd w:val="0"/>
        <w:snapToGrid/>
        <w:spacing w:line="450" w:lineRule="exact"/>
        <w:ind w:firstLine="482" w:firstLineChars="200"/>
        <w:jc w:val="left"/>
        <w:textAlignment w:val="baseline"/>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二、项目概况与招标范围</w:t>
      </w:r>
    </w:p>
    <w:p w14:paraId="1E63B263">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工程实施地点：枞阳县横埠镇官塘村横埠河桥附近</w:t>
      </w:r>
    </w:p>
    <w:p w14:paraId="400F0001">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建设规模：本工程改造新建耐张塔1基；全线按双回架设，恢复架线长度0.78km。原导线采用4×LGJ-630/45钢芯铝绞线；原地线一根采用36芯OPGW光缆，另一根采用GJ-80镀锌钢绞线，本工程利用原导地线恢复架线。拆除老线路1基铁塔。气象区为2910气象区（10米基准高度），沿线地形比例：平地70%，泥沼30%。沿线</w:t>
      </w:r>
      <w:r>
        <w:rPr>
          <w:rFonts w:hint="eastAsia" w:ascii="仿宋" w:hAnsi="仿宋" w:eastAsia="仿宋" w:cs="仿宋"/>
          <w:color w:val="auto"/>
          <w:sz w:val="24"/>
          <w:szCs w:val="24"/>
          <w:highlight w:val="none"/>
          <w:lang w:eastAsia="zh-CN"/>
        </w:rPr>
        <w:t>海拔</w:t>
      </w:r>
      <w:r>
        <w:rPr>
          <w:rFonts w:hint="eastAsia" w:ascii="仿宋" w:hAnsi="仿宋" w:eastAsia="仿宋" w:cs="仿宋"/>
          <w:color w:val="auto"/>
          <w:sz w:val="24"/>
          <w:szCs w:val="24"/>
          <w:highlight w:val="none"/>
        </w:rPr>
        <w:t>在100m以内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估算工程</w:t>
      </w:r>
      <w:r>
        <w:rPr>
          <w:rFonts w:hint="eastAsia" w:ascii="仿宋" w:hAnsi="仿宋" w:eastAsia="仿宋" w:cs="仿宋"/>
          <w:color w:val="auto"/>
          <w:sz w:val="24"/>
          <w:szCs w:val="24"/>
          <w:highlight w:val="none"/>
          <w:lang w:val="en-US" w:eastAsia="zh-CN"/>
        </w:rPr>
        <w:t>投资</w:t>
      </w:r>
      <w:r>
        <w:rPr>
          <w:rFonts w:hint="eastAsia" w:ascii="仿宋" w:hAnsi="仿宋" w:eastAsia="仿宋" w:cs="仿宋"/>
          <w:color w:val="auto"/>
          <w:sz w:val="24"/>
          <w:szCs w:val="24"/>
          <w:highlight w:val="none"/>
        </w:rPr>
        <w:t>额</w:t>
      </w:r>
      <w:r>
        <w:rPr>
          <w:rFonts w:hint="eastAsia" w:ascii="仿宋" w:hAnsi="仿宋" w:eastAsia="仿宋" w:cs="仿宋"/>
          <w:color w:val="auto"/>
          <w:sz w:val="24"/>
          <w:szCs w:val="24"/>
          <w:highlight w:val="none"/>
          <w:lang w:val="en-US" w:eastAsia="zh-CN"/>
        </w:rPr>
        <w:t xml:space="preserve">  380</w:t>
      </w:r>
      <w:r>
        <w:rPr>
          <w:rFonts w:hint="eastAsia" w:ascii="仿宋" w:hAnsi="仿宋" w:eastAsia="仿宋" w:cs="仿宋"/>
          <w:color w:val="auto"/>
          <w:sz w:val="24"/>
          <w:szCs w:val="24"/>
          <w:highlight w:val="none"/>
        </w:rPr>
        <w:t>万元。</w:t>
      </w:r>
    </w:p>
    <w:p w14:paraId="18F7E547">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招标范围：勘察</w:t>
      </w:r>
      <w:r>
        <w:rPr>
          <w:rFonts w:hint="eastAsia"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lang w:val="en-US" w:eastAsia="zh-CN"/>
        </w:rPr>
        <w:t>初步设计</w:t>
      </w:r>
      <w:r>
        <w:rPr>
          <w:rFonts w:hint="eastAsia" w:ascii="仿宋" w:hAnsi="仿宋" w:eastAsia="仿宋" w:cs="仿宋"/>
          <w:color w:val="auto"/>
          <w:sz w:val="24"/>
          <w:szCs w:val="24"/>
          <w:highlight w:val="none"/>
          <w:lang w:val="en-US" w:eastAsia="zh-CN"/>
        </w:rPr>
        <w:t>(含概算编制)</w:t>
      </w:r>
      <w:r>
        <w:rPr>
          <w:rFonts w:hint="default" w:ascii="仿宋" w:hAnsi="仿宋" w:eastAsia="仿宋" w:cs="仿宋"/>
          <w:color w:val="auto"/>
          <w:sz w:val="24"/>
          <w:szCs w:val="24"/>
          <w:highlight w:val="none"/>
          <w:lang w:val="en-US" w:eastAsia="zh-CN"/>
        </w:rPr>
        <w:t>、施工图设计</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含预算编制）</w:t>
      </w:r>
      <w:r>
        <w:rPr>
          <w:rFonts w:hint="default" w:ascii="仿宋" w:hAnsi="仿宋" w:eastAsia="仿宋" w:cs="仿宋"/>
          <w:color w:val="auto"/>
          <w:sz w:val="24"/>
          <w:szCs w:val="24"/>
          <w:highlight w:val="none"/>
          <w:lang w:val="en-US" w:eastAsia="zh-CN"/>
        </w:rPr>
        <w:t>、竣工图清单编制、审查、评审及相关配套服务</w:t>
      </w:r>
      <w:r>
        <w:rPr>
          <w:rFonts w:hint="eastAsia" w:ascii="仿宋" w:hAnsi="仿宋" w:eastAsia="仿宋" w:cs="仿宋"/>
          <w:color w:val="auto"/>
          <w:sz w:val="24"/>
          <w:szCs w:val="24"/>
          <w:highlight w:val="none"/>
        </w:rPr>
        <w:t>；即负责项目的工程勘察设计以及全过程相关配套服务（施工、验收及后续保修阶段）</w:t>
      </w:r>
      <w:r>
        <w:rPr>
          <w:rFonts w:hint="eastAsia" w:ascii="仿宋" w:hAnsi="仿宋" w:eastAsia="仿宋" w:cs="仿宋"/>
          <w:color w:val="auto"/>
          <w:sz w:val="24"/>
          <w:szCs w:val="24"/>
          <w:highlight w:val="none"/>
          <w:lang w:eastAsia="zh-CN"/>
        </w:rPr>
        <w:t>。</w:t>
      </w:r>
    </w:p>
    <w:p w14:paraId="411D3656">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w:t>
      </w:r>
      <w:r>
        <w:rPr>
          <w:rFonts w:hint="eastAsia" w:ascii="仿宋" w:hAnsi="仿宋" w:eastAsia="仿宋" w:cs="仿宋"/>
          <w:color w:val="auto"/>
          <w:sz w:val="24"/>
          <w:szCs w:val="24"/>
          <w:highlight w:val="none"/>
        </w:rPr>
        <w:t>设计周期：</w:t>
      </w:r>
      <w:r>
        <w:rPr>
          <w:rFonts w:hint="eastAsia" w:ascii="仿宋" w:hAnsi="仿宋" w:eastAsia="仿宋" w:cs="仿宋"/>
          <w:color w:val="auto"/>
          <w:sz w:val="24"/>
          <w:szCs w:val="24"/>
          <w:highlight w:val="none"/>
          <w:lang w:val="en-US" w:eastAsia="zh-CN"/>
        </w:rPr>
        <w:t>30日历天，即设计周期总有效期限不超过30日历天（主管单位审批所需时间及客观因素除外），投标人应根据招标人的设计时间要求安排工作（设计服务合</w:t>
      </w:r>
      <w:r>
        <w:rPr>
          <w:rFonts w:hint="eastAsia" w:ascii="仿宋" w:hAnsi="仿宋" w:eastAsia="仿宋" w:cs="仿宋"/>
          <w:color w:val="auto"/>
          <w:sz w:val="24"/>
          <w:szCs w:val="24"/>
          <w:highlight w:val="none"/>
        </w:rPr>
        <w:t>同签订之日起至提交施工图成果文件）</w:t>
      </w:r>
      <w:r>
        <w:rPr>
          <w:rFonts w:hint="eastAsia" w:ascii="仿宋" w:hAnsi="仿宋" w:eastAsia="仿宋" w:cs="仿宋"/>
          <w:color w:val="auto"/>
          <w:sz w:val="24"/>
          <w:szCs w:val="24"/>
          <w:highlight w:val="none"/>
          <w:lang w:eastAsia="zh-CN"/>
        </w:rPr>
        <w:t>。</w:t>
      </w:r>
    </w:p>
    <w:p w14:paraId="69C6CD6D">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5.</w:t>
      </w:r>
      <w:r>
        <w:rPr>
          <w:rFonts w:hint="eastAsia" w:ascii="仿宋" w:hAnsi="仿宋" w:eastAsia="仿宋" w:cs="仿宋"/>
          <w:color w:val="auto"/>
          <w:sz w:val="24"/>
          <w:szCs w:val="24"/>
          <w:highlight w:val="none"/>
        </w:rPr>
        <w:t>质量要求：合格</w:t>
      </w:r>
    </w:p>
    <w:p w14:paraId="6903DCEB">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6.</w:t>
      </w:r>
      <w:r>
        <w:rPr>
          <w:rFonts w:hint="eastAsia" w:ascii="仿宋" w:hAnsi="仿宋" w:eastAsia="仿宋" w:cs="仿宋"/>
          <w:color w:val="auto"/>
          <w:sz w:val="24"/>
          <w:szCs w:val="24"/>
          <w:highlight w:val="none"/>
        </w:rPr>
        <w:t>标段划分：一个标段</w:t>
      </w:r>
    </w:p>
    <w:p w14:paraId="759AB417">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7.</w:t>
      </w:r>
      <w:r>
        <w:rPr>
          <w:rFonts w:hint="eastAsia" w:ascii="仿宋" w:hAnsi="仿宋" w:eastAsia="仿宋" w:cs="仿宋"/>
          <w:color w:val="auto"/>
          <w:sz w:val="24"/>
          <w:szCs w:val="24"/>
          <w:highlight w:val="none"/>
        </w:rPr>
        <w:t>最高投标限价（招标控制</w:t>
      </w:r>
      <w:r>
        <w:rPr>
          <w:rFonts w:hint="eastAsia" w:ascii="仿宋" w:hAnsi="仿宋" w:eastAsia="仿宋" w:cs="仿宋"/>
          <w:color w:val="auto"/>
          <w:sz w:val="24"/>
          <w:szCs w:val="24"/>
          <w:highlight w:val="none"/>
          <w:lang w:val="en-US" w:eastAsia="zh-CN"/>
        </w:rPr>
        <w:t>费率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7.4</w:t>
      </w:r>
      <w:r>
        <w:rPr>
          <w:rFonts w:hint="eastAsia" w:ascii="仿宋" w:hAnsi="仿宋" w:eastAsia="仿宋" w:cs="仿宋"/>
          <w:color w:val="auto"/>
          <w:sz w:val="24"/>
          <w:szCs w:val="24"/>
          <w:highlight w:val="none"/>
        </w:rPr>
        <w:t>%（以发包人公布的工程招标控制价总额（不含暂列金额）为计费基数）</w:t>
      </w:r>
    </w:p>
    <w:p w14:paraId="32A9D0CB">
      <w:pPr>
        <w:keepNext w:val="0"/>
        <w:keepLines w:val="0"/>
        <w:pageBreakBefore w:val="0"/>
        <w:widowControl/>
        <w:kinsoku/>
        <w:wordWrap/>
        <w:overflowPunct/>
        <w:topLinePunct w:val="0"/>
        <w:autoSpaceDE/>
        <w:autoSpaceDN/>
        <w:bidi w:val="0"/>
        <w:adjustRightInd w:val="0"/>
        <w:snapToGrid/>
        <w:spacing w:line="450" w:lineRule="exact"/>
        <w:ind w:firstLine="482" w:firstLineChars="200"/>
        <w:jc w:val="left"/>
        <w:textAlignment w:val="baseline"/>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三、投标人资格要求</w:t>
      </w:r>
    </w:p>
    <w:p w14:paraId="12667D05">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投标人资质要求：具有有效的工程设计综合甲级资质或</w:t>
      </w:r>
      <w:r>
        <w:rPr>
          <w:rFonts w:hint="eastAsia" w:ascii="仿宋" w:hAnsi="仿宋" w:eastAsia="仿宋" w:cs="仿宋"/>
          <w:color w:val="auto"/>
          <w:kern w:val="0"/>
          <w:sz w:val="24"/>
          <w:highlight w:val="none"/>
          <w:lang w:bidi="ar"/>
        </w:rPr>
        <w:t>电力行业工程设计甲级资质</w:t>
      </w:r>
      <w:r>
        <w:rPr>
          <w:rFonts w:hint="eastAsia" w:ascii="仿宋" w:hAnsi="仿宋" w:eastAsia="仿宋" w:cs="仿宋"/>
          <w:color w:val="auto"/>
          <w:sz w:val="24"/>
          <w:szCs w:val="24"/>
          <w:highlight w:val="none"/>
        </w:rPr>
        <w:t>；</w:t>
      </w:r>
    </w:p>
    <w:p w14:paraId="516BA916">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本次招标</w:t>
      </w:r>
      <w:r>
        <w:rPr>
          <w:rFonts w:hint="eastAsia" w:ascii="仿宋" w:hAnsi="仿宋" w:eastAsia="仿宋" w:cs="仿宋"/>
          <w:color w:val="auto"/>
          <w:sz w:val="24"/>
          <w:szCs w:val="24"/>
          <w:highlight w:val="none"/>
          <w:u w:val="single"/>
        </w:rPr>
        <w:t xml:space="preserve"> 不接受 </w:t>
      </w:r>
      <w:r>
        <w:rPr>
          <w:rFonts w:hint="eastAsia" w:ascii="仿宋" w:hAnsi="仿宋" w:eastAsia="仿宋" w:cs="仿宋"/>
          <w:color w:val="auto"/>
          <w:sz w:val="24"/>
          <w:szCs w:val="24"/>
          <w:highlight w:val="none"/>
        </w:rPr>
        <w:t>联合体投标；资格审查采取</w:t>
      </w:r>
      <w:r>
        <w:rPr>
          <w:rFonts w:hint="eastAsia" w:ascii="仿宋" w:hAnsi="仿宋" w:eastAsia="仿宋" w:cs="仿宋"/>
          <w:color w:val="auto"/>
          <w:sz w:val="24"/>
          <w:szCs w:val="24"/>
          <w:highlight w:val="none"/>
          <w:u w:val="single"/>
        </w:rPr>
        <w:t xml:space="preserve"> 资格后审 </w:t>
      </w:r>
      <w:r>
        <w:rPr>
          <w:rFonts w:hint="eastAsia" w:ascii="仿宋" w:hAnsi="仿宋" w:eastAsia="仿宋" w:cs="仿宋"/>
          <w:color w:val="auto"/>
          <w:sz w:val="24"/>
          <w:szCs w:val="24"/>
          <w:highlight w:val="none"/>
        </w:rPr>
        <w:t>进行。</w:t>
      </w:r>
    </w:p>
    <w:p w14:paraId="5496FCFF">
      <w:pPr>
        <w:keepNext w:val="0"/>
        <w:keepLines w:val="0"/>
        <w:pageBreakBefore w:val="0"/>
        <w:widowControl/>
        <w:kinsoku/>
        <w:wordWrap/>
        <w:overflowPunct/>
        <w:topLinePunct w:val="0"/>
        <w:autoSpaceDE/>
        <w:autoSpaceDN/>
        <w:bidi w:val="0"/>
        <w:adjustRightInd w:val="0"/>
        <w:snapToGrid/>
        <w:spacing w:line="450" w:lineRule="exact"/>
        <w:ind w:firstLine="482" w:firstLineChars="200"/>
        <w:jc w:val="left"/>
        <w:textAlignment w:val="baseline"/>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四、招标文件的获取方式</w:t>
      </w:r>
    </w:p>
    <w:p w14:paraId="7C01B01F">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获取时间：</w:t>
      </w:r>
      <w:r>
        <w:rPr>
          <w:rFonts w:hint="eastAsia" w:ascii="仿宋" w:hAnsi="仿宋" w:eastAsia="仿宋" w:cs="仿宋"/>
          <w:color w:val="auto"/>
          <w:sz w:val="24"/>
          <w:szCs w:val="24"/>
          <w:highlight w:val="none"/>
          <w:lang w:eastAsia="zh-CN"/>
        </w:rPr>
        <w:t>2025年</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lang w:eastAsia="zh-CN"/>
        </w:rPr>
        <w:t>2025年</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rPr>
        <w:t>日（法定公休日、法定节假日除外），每日上午09时至11时，15点至17时（北京时间，下同）。</w:t>
      </w:r>
    </w:p>
    <w:p w14:paraId="7367B4F5">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获取方式：</w:t>
      </w:r>
    </w:p>
    <w:p w14:paraId="6EDC554C">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凡有意参加投标者，持介绍信或授权委托书在铜陵华诚工程咨询有限公司招标代理部501室领取招标文件。</w:t>
      </w:r>
    </w:p>
    <w:p w14:paraId="11C38B95">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招标文件获取过程中有任何疑问，请在工作时间工作日上午8：00 至11：30，下午 2：30 至 5：30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拨打徐女士0562-2825819。</w:t>
      </w:r>
    </w:p>
    <w:p w14:paraId="4D339F2E">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）将投标单位介绍信或授权委托书扫描件直接发送至474650709@qq.com，采购文件请自行下载。</w:t>
      </w:r>
    </w:p>
    <w:p w14:paraId="590BC48D">
      <w:pPr>
        <w:keepNext w:val="0"/>
        <w:keepLines w:val="0"/>
        <w:pageBreakBefore w:val="0"/>
        <w:widowControl/>
        <w:kinsoku/>
        <w:wordWrap/>
        <w:overflowPunct/>
        <w:topLinePunct w:val="0"/>
        <w:autoSpaceDE/>
        <w:autoSpaceDN/>
        <w:bidi w:val="0"/>
        <w:adjustRightInd w:val="0"/>
        <w:snapToGrid/>
        <w:spacing w:line="450" w:lineRule="exact"/>
        <w:ind w:firstLine="480" w:firstLineChars="200"/>
        <w:jc w:val="left"/>
        <w:textAlignment w:val="baseline"/>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3.招标文件及有关招标资料工本费为0元。</w:t>
      </w:r>
    </w:p>
    <w:p w14:paraId="72DEAE7D">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五、投标文件的递交</w:t>
      </w:r>
      <w:r>
        <w:rPr>
          <w:rFonts w:hint="eastAsia" w:ascii="仿宋" w:hAnsi="仿宋" w:eastAsia="仿宋" w:cs="仿宋"/>
          <w:b/>
          <w:color w:val="auto"/>
          <w:sz w:val="24"/>
          <w:szCs w:val="24"/>
          <w:highlight w:val="none"/>
        </w:rPr>
        <w:tab/>
      </w:r>
    </w:p>
    <w:p w14:paraId="7B8706BB">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color w:val="auto"/>
          <w:sz w:val="24"/>
          <w:szCs w:val="24"/>
          <w:highlight w:val="none"/>
        </w:rPr>
      </w:pPr>
      <w:r>
        <w:rPr>
          <w:rFonts w:hint="eastAsia" w:ascii="仿宋" w:hAnsi="仿宋" w:eastAsia="仿宋" w:cs="仿宋"/>
          <w:bCs/>
          <w:color w:val="auto"/>
          <w:sz w:val="24"/>
          <w:szCs w:val="24"/>
          <w:highlight w:val="none"/>
          <w:lang w:eastAsia="zh-CN"/>
        </w:rPr>
        <w:t>1.</w:t>
      </w:r>
      <w:r>
        <w:rPr>
          <w:rFonts w:hint="eastAsia" w:ascii="仿宋" w:hAnsi="仿宋" w:eastAsia="仿宋" w:cs="仿宋"/>
          <w:color w:val="auto"/>
          <w:sz w:val="24"/>
          <w:szCs w:val="24"/>
          <w:highlight w:val="none"/>
        </w:rPr>
        <w:t>投标文件递交的截止时间（及开标时间，下同）为</w:t>
      </w:r>
      <w:r>
        <w:rPr>
          <w:rFonts w:hint="eastAsia" w:ascii="仿宋" w:hAnsi="仿宋" w:eastAsia="仿宋" w:cs="仿宋"/>
          <w:color w:val="auto"/>
          <w:sz w:val="24"/>
          <w:szCs w:val="24"/>
          <w:highlight w:val="none"/>
          <w:lang w:eastAsia="zh-CN"/>
        </w:rPr>
        <w:t>2025年</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19</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时</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0分，地点为铜陵华诚工程咨询有限公司五楼506</w:t>
      </w:r>
      <w:r>
        <w:rPr>
          <w:rFonts w:hint="eastAsia" w:ascii="仿宋" w:hAnsi="仿宋" w:eastAsia="仿宋" w:cs="仿宋"/>
          <w:color w:val="auto"/>
          <w:sz w:val="24"/>
          <w:szCs w:val="24"/>
          <w:highlight w:val="none"/>
          <w:lang w:val="en-US" w:eastAsia="zh-CN"/>
        </w:rPr>
        <w:t>开标</w:t>
      </w:r>
      <w:r>
        <w:rPr>
          <w:rFonts w:hint="eastAsia" w:ascii="仿宋" w:hAnsi="仿宋" w:eastAsia="仿宋" w:cs="仿宋"/>
          <w:color w:val="auto"/>
          <w:sz w:val="24"/>
          <w:szCs w:val="24"/>
          <w:highlight w:val="none"/>
        </w:rPr>
        <w:t>室。</w:t>
      </w:r>
    </w:p>
    <w:p w14:paraId="7BFCE9A6">
      <w:pPr>
        <w:pStyle w:val="52"/>
        <w:keepNext w:val="0"/>
        <w:keepLines w:val="0"/>
        <w:pageBreakBefore w:val="0"/>
        <w:kinsoku/>
        <w:wordWrap/>
        <w:overflowPunct/>
        <w:topLinePunct w:val="0"/>
        <w:autoSpaceDE/>
        <w:autoSpaceDN/>
        <w:bidi w:val="0"/>
        <w:adjustRightInd w:val="0"/>
        <w:snapToGrid/>
        <w:spacing w:line="450" w:lineRule="exact"/>
        <w:ind w:left="0" w:leftChars="0" w:firstLine="480"/>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逾期送达的或者未送达指定地点的投标文件，招标人不予受理。</w:t>
      </w:r>
    </w:p>
    <w:p w14:paraId="2FDD632C">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hint="default" w:ascii="仿宋" w:hAnsi="仿宋" w:eastAsia="仿宋" w:cs="仿宋"/>
          <w:b/>
          <w:color w:val="auto"/>
          <w:sz w:val="24"/>
          <w:szCs w:val="24"/>
          <w:highlight w:val="none"/>
          <w:lang w:val="en-US" w:eastAsia="zh-CN"/>
        </w:rPr>
      </w:pPr>
      <w:bookmarkStart w:id="6" w:name="_Toc31992"/>
      <w:bookmarkStart w:id="7" w:name="_Toc7278_WPSOffice_Level1"/>
      <w:r>
        <w:rPr>
          <w:rFonts w:hint="eastAsia" w:ascii="仿宋" w:hAnsi="仿宋" w:eastAsia="仿宋" w:cs="仿宋"/>
          <w:b/>
          <w:color w:val="auto"/>
          <w:sz w:val="24"/>
          <w:szCs w:val="24"/>
          <w:highlight w:val="none"/>
        </w:rPr>
        <w:t>六、开标时间及地点</w:t>
      </w:r>
      <w:r>
        <w:rPr>
          <w:rFonts w:hint="eastAsia" w:ascii="仿宋" w:hAnsi="仿宋" w:eastAsia="仿宋" w:cs="仿宋"/>
          <w:b/>
          <w:color w:val="auto"/>
          <w:sz w:val="24"/>
          <w:szCs w:val="24"/>
          <w:highlight w:val="none"/>
          <w:lang w:val="en-US" w:eastAsia="zh-CN"/>
        </w:rPr>
        <w:t xml:space="preserve">+ </w:t>
      </w:r>
    </w:p>
    <w:p w14:paraId="1447BFF2">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1.</w:t>
      </w:r>
      <w:r>
        <w:rPr>
          <w:rFonts w:hint="eastAsia" w:ascii="仿宋" w:hAnsi="仿宋" w:eastAsia="仿宋" w:cs="仿宋"/>
          <w:bCs/>
          <w:color w:val="auto"/>
          <w:sz w:val="24"/>
          <w:szCs w:val="24"/>
          <w:highlight w:val="none"/>
        </w:rPr>
        <w:t>开标时间：</w:t>
      </w:r>
      <w:r>
        <w:rPr>
          <w:rFonts w:hint="eastAsia" w:ascii="仿宋" w:hAnsi="仿宋" w:eastAsia="仿宋" w:cs="仿宋"/>
          <w:bCs/>
          <w:color w:val="auto"/>
          <w:sz w:val="24"/>
          <w:szCs w:val="24"/>
          <w:highlight w:val="none"/>
          <w:lang w:eastAsia="zh-CN"/>
        </w:rPr>
        <w:t>2025年</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lang w:eastAsia="zh-CN"/>
        </w:rPr>
        <w:t>月</w:t>
      </w:r>
      <w:r>
        <w:rPr>
          <w:rFonts w:hint="eastAsia" w:ascii="仿宋" w:hAnsi="仿宋" w:eastAsia="仿宋" w:cs="仿宋"/>
          <w:bCs/>
          <w:color w:val="auto"/>
          <w:sz w:val="24"/>
          <w:szCs w:val="24"/>
          <w:highlight w:val="none"/>
          <w:lang w:val="en-US" w:eastAsia="zh-CN"/>
        </w:rPr>
        <w:t>19</w:t>
      </w:r>
      <w:r>
        <w:rPr>
          <w:rFonts w:hint="eastAsia" w:ascii="仿宋" w:hAnsi="仿宋" w:eastAsia="仿宋" w:cs="仿宋"/>
          <w:bCs/>
          <w:color w:val="auto"/>
          <w:sz w:val="24"/>
          <w:szCs w:val="24"/>
          <w:highlight w:val="none"/>
        </w:rPr>
        <w:t>日</w:t>
      </w:r>
      <w:r>
        <w:rPr>
          <w:rFonts w:hint="eastAsia" w:ascii="仿宋" w:hAnsi="仿宋" w:eastAsia="仿宋" w:cs="仿宋"/>
          <w:bCs/>
          <w:color w:val="auto"/>
          <w:sz w:val="24"/>
          <w:szCs w:val="24"/>
          <w:highlight w:val="none"/>
          <w:lang w:val="en-US" w:eastAsia="zh-CN"/>
        </w:rPr>
        <w:t>15</w:t>
      </w:r>
      <w:r>
        <w:rPr>
          <w:rFonts w:hint="eastAsia" w:ascii="仿宋" w:hAnsi="仿宋" w:eastAsia="仿宋" w:cs="仿宋"/>
          <w:bCs/>
          <w:color w:val="auto"/>
          <w:sz w:val="24"/>
          <w:szCs w:val="24"/>
          <w:highlight w:val="none"/>
        </w:rPr>
        <w:t>时</w:t>
      </w:r>
      <w:r>
        <w:rPr>
          <w:rFonts w:hint="eastAsia" w:ascii="仿宋" w:hAnsi="仿宋" w:eastAsia="仿宋" w:cs="仿宋"/>
          <w:bCs/>
          <w:color w:val="auto"/>
          <w:sz w:val="24"/>
          <w:szCs w:val="24"/>
          <w:highlight w:val="none"/>
          <w:lang w:val="en-US" w:eastAsia="zh-CN"/>
        </w:rPr>
        <w:t>0</w:t>
      </w:r>
      <w:r>
        <w:rPr>
          <w:rFonts w:hint="eastAsia" w:ascii="仿宋" w:hAnsi="仿宋" w:eastAsia="仿宋" w:cs="仿宋"/>
          <w:bCs/>
          <w:color w:val="auto"/>
          <w:sz w:val="24"/>
          <w:szCs w:val="24"/>
          <w:highlight w:val="none"/>
        </w:rPr>
        <w:t xml:space="preserve">0分。 </w:t>
      </w:r>
    </w:p>
    <w:p w14:paraId="2AB38C21">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开标地点：铜陵华诚工程咨询有限公司五楼506</w:t>
      </w:r>
      <w:r>
        <w:rPr>
          <w:rFonts w:hint="eastAsia" w:ascii="仿宋" w:hAnsi="仿宋" w:eastAsia="仿宋" w:cs="仿宋"/>
          <w:color w:val="auto"/>
          <w:sz w:val="24"/>
          <w:szCs w:val="24"/>
          <w:highlight w:val="none"/>
          <w:lang w:val="en-US" w:eastAsia="zh-CN"/>
        </w:rPr>
        <w:t>开标</w:t>
      </w:r>
      <w:r>
        <w:rPr>
          <w:rFonts w:hint="eastAsia" w:ascii="仿宋" w:hAnsi="仿宋" w:eastAsia="仿宋" w:cs="仿宋"/>
          <w:bCs/>
          <w:color w:val="auto"/>
          <w:sz w:val="24"/>
          <w:szCs w:val="24"/>
          <w:highlight w:val="none"/>
        </w:rPr>
        <w:t>室。</w:t>
      </w:r>
    </w:p>
    <w:p w14:paraId="05348DFE">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七、踏勘现场和投标预备会</w:t>
      </w:r>
    </w:p>
    <w:p w14:paraId="59DA8072">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招标人不组织踏勘现场，不召开投标预备会。</w:t>
      </w:r>
    </w:p>
    <w:p w14:paraId="788F3256">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八、发布公告的媒介</w:t>
      </w:r>
    </w:p>
    <w:p w14:paraId="63B31E91">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本次招标公告在</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 xml:space="preserve"> 铜陵市交通运输局</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和“铜陵华诚工程咨询网”发布。</w:t>
      </w:r>
    </w:p>
    <w:p w14:paraId="41E3B880">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九、联系方式</w:t>
      </w:r>
    </w:p>
    <w:p w14:paraId="73137B3E">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对本项目存在异议的，可在公示期内通过以下联系方式向招标人或代理机构提出</w:t>
      </w:r>
      <w:r>
        <w:rPr>
          <w:rFonts w:hint="eastAsia" w:ascii="仿宋" w:hAnsi="仿宋" w:eastAsia="仿宋" w:cs="仿宋"/>
          <w:bCs/>
          <w:color w:val="auto"/>
          <w:sz w:val="24"/>
          <w:szCs w:val="24"/>
          <w:highlight w:val="none"/>
          <w:lang w:eastAsia="zh-CN"/>
        </w:rPr>
        <w:t>）</w:t>
      </w:r>
    </w:p>
    <w:p w14:paraId="3B021F48">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1.</w:t>
      </w:r>
      <w:r>
        <w:rPr>
          <w:rFonts w:hint="eastAsia" w:ascii="仿宋" w:hAnsi="仿宋" w:eastAsia="仿宋" w:cs="仿宋"/>
          <w:bCs/>
          <w:color w:val="auto"/>
          <w:sz w:val="24"/>
          <w:szCs w:val="24"/>
          <w:highlight w:val="none"/>
        </w:rPr>
        <w:t xml:space="preserve"> 招标人</w:t>
      </w:r>
    </w:p>
    <w:p w14:paraId="74997F71">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招 标 人： </w:t>
      </w:r>
      <w:r>
        <w:rPr>
          <w:rFonts w:hint="eastAsia" w:ascii="仿宋" w:hAnsi="仿宋" w:eastAsia="仿宋" w:cs="仿宋"/>
          <w:color w:val="auto"/>
          <w:sz w:val="24"/>
          <w:szCs w:val="24"/>
          <w:highlight w:val="none"/>
          <w:lang w:eastAsia="zh-CN"/>
        </w:rPr>
        <w:t xml:space="preserve">铜陵市公路管理服务中心 </w:t>
      </w:r>
    </w:p>
    <w:p w14:paraId="729F1A55">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    址： 铜陵市交通大厦</w:t>
      </w:r>
    </w:p>
    <w:p w14:paraId="4738BC1A">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    编： 244000</w:t>
      </w:r>
    </w:p>
    <w:p w14:paraId="17E86D01">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 系 人：</w:t>
      </w:r>
      <w:r>
        <w:rPr>
          <w:rFonts w:hint="eastAsia" w:ascii="仿宋" w:hAnsi="仿宋" w:eastAsia="仿宋" w:cs="仿宋"/>
          <w:bCs/>
          <w:color w:val="auto"/>
          <w:sz w:val="24"/>
          <w:szCs w:val="24"/>
          <w:highlight w:val="none"/>
          <w:lang w:val="en-US" w:eastAsia="zh-CN"/>
        </w:rPr>
        <w:t>张先生</w:t>
      </w:r>
      <w:r>
        <w:rPr>
          <w:rFonts w:hint="eastAsia" w:ascii="仿宋" w:hAnsi="仿宋" w:eastAsia="仿宋" w:cs="仿宋"/>
          <w:bCs/>
          <w:color w:val="auto"/>
          <w:sz w:val="24"/>
          <w:szCs w:val="24"/>
          <w:highlight w:val="none"/>
        </w:rPr>
        <w:t xml:space="preserve">  </w:t>
      </w:r>
    </w:p>
    <w:p w14:paraId="4F73D06F">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电    话：0562-2864305</w:t>
      </w:r>
      <w:r>
        <w:rPr>
          <w:rFonts w:hint="eastAsia" w:ascii="仿宋" w:hAnsi="仿宋" w:eastAsia="仿宋" w:cs="仿宋"/>
          <w:bCs/>
          <w:color w:val="auto"/>
          <w:sz w:val="24"/>
          <w:szCs w:val="24"/>
          <w:highlight w:val="none"/>
          <w:lang w:val="en-US" w:eastAsia="zh-CN"/>
        </w:rPr>
        <w:t xml:space="preserve"> </w:t>
      </w:r>
    </w:p>
    <w:p w14:paraId="66B08ED0">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招标代理机构</w:t>
      </w:r>
    </w:p>
    <w:p w14:paraId="566D22B0">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招标代理机构： 铜陵华诚工程咨询有限公司</w:t>
      </w:r>
    </w:p>
    <w:p w14:paraId="123DAB24">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    址： 铜陵市铜井大道西段658号</w:t>
      </w:r>
    </w:p>
    <w:p w14:paraId="7E10C3C5">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    编：</w:t>
      </w:r>
      <w:bookmarkStart w:id="8" w:name="OLE_LINK2"/>
      <w:r>
        <w:rPr>
          <w:rFonts w:hint="eastAsia" w:ascii="仿宋" w:hAnsi="仿宋" w:eastAsia="仿宋" w:cs="仿宋"/>
          <w:bCs/>
          <w:color w:val="auto"/>
          <w:sz w:val="24"/>
          <w:szCs w:val="24"/>
          <w:highlight w:val="none"/>
        </w:rPr>
        <w:t xml:space="preserve"> 244000</w:t>
      </w:r>
      <w:bookmarkEnd w:id="8"/>
    </w:p>
    <w:p w14:paraId="2DBBC348">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 系 人： 徐女士</w:t>
      </w:r>
    </w:p>
    <w:p w14:paraId="2EDA3B89">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电    话： 0562-2825819</w:t>
      </w:r>
    </w:p>
    <w:p w14:paraId="4F5C0068">
      <w:pPr>
        <w:keepNext w:val="0"/>
        <w:keepLines w:val="0"/>
        <w:pageBreakBefore w:val="0"/>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十、其他事项说明</w:t>
      </w:r>
    </w:p>
    <w:p w14:paraId="7D5C915D">
      <w:pPr>
        <w:keepNext w:val="0"/>
        <w:keepLines w:val="0"/>
        <w:pageBreakBefore w:val="0"/>
        <w:kinsoku/>
        <w:wordWrap/>
        <w:overflowPunct/>
        <w:topLinePunct w:val="0"/>
        <w:autoSpaceDE/>
        <w:autoSpaceDN/>
        <w:bidi w:val="0"/>
        <w:adjustRightInd w:val="0"/>
        <w:snapToGrid/>
        <w:spacing w:line="450" w:lineRule="exact"/>
        <w:ind w:firstLine="470" w:firstLineChars="196"/>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投标人不得存在的其他关联情形、不得存在的其他不良状况或不良信用记录详见投标人须知前附表</w:t>
      </w:r>
    </w:p>
    <w:p w14:paraId="386EDD9F">
      <w:pPr>
        <w:keepNext w:val="0"/>
        <w:keepLines w:val="0"/>
        <w:pageBreakBefore w:val="0"/>
        <w:numPr>
          <w:ilvl w:val="0"/>
          <w:numId w:val="1"/>
        </w:numPr>
        <w:tabs>
          <w:tab w:val="left" w:pos="5916"/>
        </w:tabs>
        <w:kinsoku/>
        <w:wordWrap/>
        <w:overflowPunct/>
        <w:topLinePunct w:val="0"/>
        <w:autoSpaceDE/>
        <w:autoSpaceDN/>
        <w:bidi w:val="0"/>
        <w:adjustRightInd w:val="0"/>
        <w:snapToGrid/>
        <w:spacing w:line="450" w:lineRule="exact"/>
        <w:ind w:firstLine="482" w:firstLineChars="200"/>
        <w:textAlignment w:val="baseline"/>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投标保证金（无）</w:t>
      </w:r>
    </w:p>
    <w:p w14:paraId="0DCEFDB9">
      <w:pPr>
        <w:pStyle w:val="51"/>
        <w:ind w:firstLine="0" w:firstLineChars="0"/>
        <w:rPr>
          <w:rFonts w:hint="default"/>
          <w:color w:val="auto"/>
          <w:highlight w:val="none"/>
        </w:rPr>
      </w:pPr>
    </w:p>
    <w:p w14:paraId="2A89A9BB">
      <w:pPr>
        <w:pStyle w:val="34"/>
        <w:ind w:firstLine="0" w:firstLineChars="0"/>
        <w:jc w:val="center"/>
        <w:rPr>
          <w:rFonts w:hint="eastAsia" w:ascii="仿宋" w:hAnsi="仿宋" w:eastAsia="仿宋" w:cs="仿宋"/>
          <w:b/>
          <w:color w:val="auto"/>
          <w:kern w:val="2"/>
          <w:sz w:val="24"/>
          <w:szCs w:val="24"/>
          <w:highlight w:val="none"/>
        </w:rPr>
      </w:pPr>
    </w:p>
    <w:p w14:paraId="37ED3397">
      <w:pPr>
        <w:pStyle w:val="34"/>
        <w:ind w:firstLine="0" w:firstLineChars="0"/>
        <w:jc w:val="center"/>
        <w:rPr>
          <w:rFonts w:hint="eastAsia" w:ascii="仿宋" w:hAnsi="仿宋" w:eastAsia="仿宋" w:cs="仿宋"/>
          <w:b/>
          <w:color w:val="auto"/>
          <w:kern w:val="2"/>
          <w:sz w:val="24"/>
          <w:szCs w:val="24"/>
          <w:highlight w:val="none"/>
        </w:rPr>
      </w:pPr>
    </w:p>
    <w:p w14:paraId="7EE25896">
      <w:pPr>
        <w:pStyle w:val="34"/>
        <w:ind w:firstLine="0" w:firstLineChars="0"/>
        <w:jc w:val="center"/>
        <w:rPr>
          <w:rFonts w:hint="eastAsia" w:ascii="仿宋" w:hAnsi="仿宋" w:eastAsia="仿宋" w:cs="仿宋"/>
          <w:b/>
          <w:color w:val="auto"/>
          <w:kern w:val="2"/>
          <w:sz w:val="24"/>
          <w:szCs w:val="24"/>
          <w:highlight w:val="none"/>
        </w:rPr>
      </w:pPr>
    </w:p>
    <w:p w14:paraId="4A0D38A5">
      <w:pPr>
        <w:pStyle w:val="34"/>
        <w:ind w:firstLine="0" w:firstLineChars="0"/>
        <w:jc w:val="center"/>
        <w:rPr>
          <w:rFonts w:hint="eastAsia" w:ascii="仿宋" w:hAnsi="仿宋" w:eastAsia="仿宋" w:cs="仿宋"/>
          <w:b/>
          <w:color w:val="auto"/>
          <w:kern w:val="2"/>
          <w:sz w:val="24"/>
          <w:szCs w:val="24"/>
          <w:highlight w:val="none"/>
        </w:rPr>
      </w:pPr>
    </w:p>
    <w:p w14:paraId="7CD6DC3A">
      <w:pPr>
        <w:pStyle w:val="34"/>
        <w:ind w:firstLine="0" w:firstLineChars="0"/>
        <w:jc w:val="center"/>
        <w:rPr>
          <w:rFonts w:hint="eastAsia" w:ascii="仿宋" w:hAnsi="仿宋" w:eastAsia="仿宋" w:cs="仿宋"/>
          <w:b/>
          <w:color w:val="auto"/>
          <w:kern w:val="2"/>
          <w:sz w:val="24"/>
          <w:szCs w:val="24"/>
          <w:highlight w:val="none"/>
        </w:rPr>
      </w:pPr>
    </w:p>
    <w:p w14:paraId="446348F4">
      <w:pPr>
        <w:pStyle w:val="34"/>
        <w:ind w:firstLine="0" w:firstLineChars="0"/>
        <w:jc w:val="center"/>
        <w:rPr>
          <w:rFonts w:hint="eastAsia" w:ascii="仿宋" w:hAnsi="仿宋" w:eastAsia="仿宋" w:cs="仿宋"/>
          <w:b/>
          <w:color w:val="auto"/>
          <w:kern w:val="2"/>
          <w:sz w:val="24"/>
          <w:szCs w:val="24"/>
          <w:highlight w:val="none"/>
        </w:rPr>
      </w:pPr>
    </w:p>
    <w:p w14:paraId="3F6A4026">
      <w:pPr>
        <w:pStyle w:val="34"/>
        <w:ind w:firstLine="0" w:firstLineChars="0"/>
        <w:jc w:val="center"/>
        <w:rPr>
          <w:rFonts w:hint="eastAsia" w:ascii="仿宋" w:hAnsi="仿宋" w:eastAsia="仿宋" w:cs="仿宋"/>
          <w:b/>
          <w:color w:val="auto"/>
          <w:kern w:val="2"/>
          <w:sz w:val="24"/>
          <w:szCs w:val="24"/>
          <w:highlight w:val="none"/>
        </w:rPr>
      </w:pPr>
    </w:p>
    <w:p w14:paraId="47EAA6AA">
      <w:pPr>
        <w:pStyle w:val="34"/>
        <w:ind w:firstLine="0" w:firstLineChars="0"/>
        <w:jc w:val="center"/>
        <w:rPr>
          <w:rFonts w:hint="eastAsia" w:ascii="仿宋" w:hAnsi="仿宋" w:eastAsia="仿宋" w:cs="仿宋"/>
          <w:b/>
          <w:color w:val="auto"/>
          <w:kern w:val="2"/>
          <w:sz w:val="24"/>
          <w:szCs w:val="24"/>
          <w:highlight w:val="none"/>
        </w:rPr>
      </w:pPr>
    </w:p>
    <w:p w14:paraId="028B3CD8">
      <w:pPr>
        <w:pStyle w:val="34"/>
        <w:ind w:firstLine="0" w:firstLineChars="0"/>
        <w:jc w:val="center"/>
        <w:rPr>
          <w:rFonts w:hint="eastAsia" w:ascii="仿宋" w:hAnsi="仿宋" w:eastAsia="仿宋" w:cs="仿宋"/>
          <w:b/>
          <w:color w:val="auto"/>
          <w:kern w:val="2"/>
          <w:sz w:val="24"/>
          <w:szCs w:val="24"/>
          <w:highlight w:val="none"/>
        </w:rPr>
      </w:pPr>
    </w:p>
    <w:p w14:paraId="6C9E2726">
      <w:pPr>
        <w:pStyle w:val="34"/>
        <w:ind w:firstLine="0" w:firstLineChars="0"/>
        <w:jc w:val="center"/>
        <w:rPr>
          <w:rFonts w:hint="eastAsia" w:ascii="仿宋" w:hAnsi="仿宋" w:eastAsia="仿宋" w:cs="仿宋"/>
          <w:b/>
          <w:color w:val="auto"/>
          <w:kern w:val="2"/>
          <w:sz w:val="24"/>
          <w:szCs w:val="24"/>
          <w:highlight w:val="none"/>
        </w:rPr>
      </w:pPr>
    </w:p>
    <w:p w14:paraId="27616298">
      <w:pPr>
        <w:pStyle w:val="34"/>
        <w:ind w:firstLine="0" w:firstLineChars="0"/>
        <w:jc w:val="center"/>
        <w:rPr>
          <w:rFonts w:hint="eastAsia" w:ascii="仿宋" w:hAnsi="仿宋" w:eastAsia="仿宋" w:cs="仿宋"/>
          <w:b/>
          <w:color w:val="auto"/>
          <w:kern w:val="2"/>
          <w:sz w:val="24"/>
          <w:szCs w:val="24"/>
          <w:highlight w:val="none"/>
        </w:rPr>
      </w:pPr>
    </w:p>
    <w:p w14:paraId="2D17D52C">
      <w:pPr>
        <w:pStyle w:val="34"/>
        <w:ind w:firstLine="0" w:firstLineChars="0"/>
        <w:jc w:val="center"/>
        <w:rPr>
          <w:rFonts w:hint="eastAsia" w:ascii="仿宋" w:hAnsi="仿宋" w:eastAsia="仿宋" w:cs="仿宋"/>
          <w:b/>
          <w:color w:val="auto"/>
          <w:kern w:val="2"/>
          <w:sz w:val="24"/>
          <w:szCs w:val="24"/>
          <w:highlight w:val="none"/>
        </w:rPr>
      </w:pPr>
    </w:p>
    <w:p w14:paraId="42AA4D84">
      <w:pPr>
        <w:pStyle w:val="34"/>
        <w:ind w:firstLine="0" w:firstLineChars="0"/>
        <w:jc w:val="center"/>
        <w:rPr>
          <w:rFonts w:hint="eastAsia" w:ascii="仿宋" w:hAnsi="仿宋" w:eastAsia="仿宋" w:cs="仿宋"/>
          <w:b/>
          <w:color w:val="auto"/>
          <w:kern w:val="2"/>
          <w:sz w:val="24"/>
          <w:szCs w:val="24"/>
          <w:highlight w:val="none"/>
        </w:rPr>
      </w:pPr>
    </w:p>
    <w:p w14:paraId="2A8EF6C3">
      <w:pPr>
        <w:pStyle w:val="34"/>
        <w:ind w:firstLine="0" w:firstLineChars="0"/>
        <w:jc w:val="center"/>
        <w:rPr>
          <w:rFonts w:hint="eastAsia" w:ascii="仿宋" w:hAnsi="仿宋" w:eastAsia="仿宋" w:cs="仿宋"/>
          <w:b/>
          <w:color w:val="auto"/>
          <w:kern w:val="2"/>
          <w:sz w:val="24"/>
          <w:szCs w:val="24"/>
          <w:highlight w:val="none"/>
        </w:rPr>
      </w:pPr>
    </w:p>
    <w:p w14:paraId="26440D3D">
      <w:pPr>
        <w:pStyle w:val="34"/>
        <w:ind w:firstLine="0" w:firstLineChars="0"/>
        <w:jc w:val="center"/>
        <w:rPr>
          <w:rFonts w:hint="eastAsia" w:ascii="仿宋" w:hAnsi="仿宋" w:eastAsia="仿宋" w:cs="仿宋"/>
          <w:b/>
          <w:color w:val="auto"/>
          <w:kern w:val="2"/>
          <w:sz w:val="24"/>
          <w:szCs w:val="24"/>
          <w:highlight w:val="none"/>
        </w:rPr>
      </w:pPr>
    </w:p>
    <w:p w14:paraId="39D0A0B6">
      <w:pPr>
        <w:pStyle w:val="34"/>
        <w:ind w:firstLine="0" w:firstLineChars="0"/>
        <w:jc w:val="center"/>
        <w:rPr>
          <w:rFonts w:hint="eastAsia" w:ascii="仿宋" w:hAnsi="仿宋" w:eastAsia="仿宋" w:cs="仿宋"/>
          <w:b/>
          <w:color w:val="auto"/>
          <w:kern w:val="2"/>
          <w:sz w:val="24"/>
          <w:szCs w:val="24"/>
          <w:highlight w:val="none"/>
        </w:rPr>
      </w:pPr>
    </w:p>
    <w:p w14:paraId="61E42579">
      <w:pPr>
        <w:pStyle w:val="34"/>
        <w:ind w:firstLine="0" w:firstLineChars="0"/>
        <w:jc w:val="center"/>
        <w:rPr>
          <w:rFonts w:hint="eastAsia" w:ascii="仿宋" w:hAnsi="仿宋" w:eastAsia="仿宋" w:cs="仿宋"/>
          <w:b/>
          <w:color w:val="auto"/>
          <w:kern w:val="2"/>
          <w:sz w:val="24"/>
          <w:szCs w:val="24"/>
          <w:highlight w:val="none"/>
        </w:rPr>
      </w:pPr>
    </w:p>
    <w:p w14:paraId="7D7828E9">
      <w:pPr>
        <w:pStyle w:val="34"/>
        <w:ind w:firstLine="0" w:firstLineChars="0"/>
        <w:jc w:val="center"/>
        <w:rPr>
          <w:rFonts w:ascii="仿宋" w:hAnsi="仿宋" w:eastAsia="仿宋" w:cs="仿宋"/>
          <w:color w:val="auto"/>
          <w:sz w:val="24"/>
          <w:szCs w:val="24"/>
          <w:highlight w:val="none"/>
        </w:rPr>
      </w:pPr>
      <w:r>
        <w:rPr>
          <w:rFonts w:hint="eastAsia" w:ascii="仿宋" w:hAnsi="仿宋" w:eastAsia="仿宋" w:cs="仿宋"/>
          <w:b/>
          <w:color w:val="auto"/>
          <w:kern w:val="2"/>
          <w:sz w:val="24"/>
          <w:szCs w:val="24"/>
          <w:highlight w:val="none"/>
        </w:rPr>
        <w:t>第二章 投标须知及投标须知前附表</w:t>
      </w:r>
      <w:bookmarkEnd w:id="6"/>
      <w:bookmarkEnd w:id="7"/>
    </w:p>
    <w:p w14:paraId="3A8D3DEE">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一、投标须知前附表</w:t>
      </w:r>
    </w:p>
    <w:tbl>
      <w:tblPr>
        <w:tblStyle w:val="36"/>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1979"/>
        <w:gridCol w:w="6693"/>
      </w:tblGrid>
      <w:tr w14:paraId="5AE5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08" w:type="dxa"/>
            <w:tcBorders>
              <w:top w:val="single" w:color="auto" w:sz="8" w:space="0"/>
              <w:left w:val="single" w:color="auto" w:sz="8" w:space="0"/>
            </w:tcBorders>
            <w:vAlign w:val="center"/>
          </w:tcPr>
          <w:p w14:paraId="3C6C0138">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1979" w:type="dxa"/>
            <w:tcBorders>
              <w:top w:val="single" w:color="auto" w:sz="4" w:space="0"/>
              <w:right w:val="single" w:color="auto" w:sz="4" w:space="0"/>
            </w:tcBorders>
            <w:vAlign w:val="center"/>
          </w:tcPr>
          <w:p w14:paraId="3D836168">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序列名称</w:t>
            </w:r>
          </w:p>
        </w:tc>
        <w:tc>
          <w:tcPr>
            <w:tcW w:w="6693" w:type="dxa"/>
            <w:tcBorders>
              <w:top w:val="single" w:color="auto" w:sz="4" w:space="0"/>
              <w:left w:val="single" w:color="auto" w:sz="4" w:space="0"/>
              <w:right w:val="single" w:color="auto" w:sz="8" w:space="0"/>
            </w:tcBorders>
            <w:vAlign w:val="center"/>
          </w:tcPr>
          <w:p w14:paraId="3A2A2CC5">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序列内容</w:t>
            </w:r>
          </w:p>
        </w:tc>
      </w:tr>
      <w:tr w14:paraId="292E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8" w:type="dxa"/>
            <w:tcBorders>
              <w:left w:val="single" w:color="auto" w:sz="8" w:space="0"/>
            </w:tcBorders>
            <w:vAlign w:val="center"/>
          </w:tcPr>
          <w:p w14:paraId="71BFCA42">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979" w:type="dxa"/>
            <w:tcBorders>
              <w:right w:val="single" w:color="auto" w:sz="4" w:space="0"/>
            </w:tcBorders>
            <w:vAlign w:val="center"/>
          </w:tcPr>
          <w:p w14:paraId="50AAD84E">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工程名称</w:t>
            </w:r>
          </w:p>
        </w:tc>
        <w:tc>
          <w:tcPr>
            <w:tcW w:w="6693" w:type="dxa"/>
            <w:tcBorders>
              <w:left w:val="single" w:color="auto" w:sz="4" w:space="0"/>
              <w:right w:val="single" w:color="auto" w:sz="8" w:space="0"/>
            </w:tcBorders>
            <w:vAlign w:val="center"/>
          </w:tcPr>
          <w:p w14:paraId="35219CA3">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G330铜陵段一级公路改建工程（一期）横埠至陈瑶湖段涉及500kV文官5391都山5392线143#塔改造工程设计</w:t>
            </w:r>
            <w:r>
              <w:rPr>
                <w:rFonts w:hint="eastAsia" w:ascii="仿宋" w:hAnsi="仿宋" w:eastAsia="仿宋" w:cs="仿宋"/>
                <w:color w:val="auto"/>
                <w:sz w:val="21"/>
                <w:szCs w:val="21"/>
                <w:highlight w:val="none"/>
              </w:rPr>
              <w:t>招标</w:t>
            </w:r>
          </w:p>
        </w:tc>
      </w:tr>
      <w:tr w14:paraId="2E5F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6767E80B">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979" w:type="dxa"/>
            <w:tcBorders>
              <w:right w:val="single" w:color="auto" w:sz="4" w:space="0"/>
            </w:tcBorders>
            <w:vAlign w:val="center"/>
          </w:tcPr>
          <w:p w14:paraId="6DE6B650">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建设地点</w:t>
            </w:r>
          </w:p>
        </w:tc>
        <w:tc>
          <w:tcPr>
            <w:tcW w:w="6693" w:type="dxa"/>
            <w:tcBorders>
              <w:left w:val="single" w:color="auto" w:sz="4" w:space="0"/>
              <w:right w:val="single" w:color="auto" w:sz="4" w:space="0"/>
            </w:tcBorders>
            <w:vAlign w:val="center"/>
          </w:tcPr>
          <w:p w14:paraId="1CE6EFD2">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详见“招标公告”内容</w:t>
            </w:r>
          </w:p>
        </w:tc>
      </w:tr>
      <w:tr w14:paraId="3CC3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31C5E5E9">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979" w:type="dxa"/>
            <w:tcBorders>
              <w:right w:val="single" w:color="auto" w:sz="4" w:space="0"/>
            </w:tcBorders>
            <w:vAlign w:val="center"/>
          </w:tcPr>
          <w:p w14:paraId="64C07C35">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招标人</w:t>
            </w:r>
          </w:p>
        </w:tc>
        <w:tc>
          <w:tcPr>
            <w:tcW w:w="6693" w:type="dxa"/>
            <w:tcBorders>
              <w:left w:val="single" w:color="auto" w:sz="4" w:space="0"/>
              <w:right w:val="single" w:color="auto" w:sz="4" w:space="0"/>
            </w:tcBorders>
            <w:vAlign w:val="center"/>
          </w:tcPr>
          <w:p w14:paraId="368F4818">
            <w:pPr>
              <w:snapToGrid w:val="0"/>
              <w:spacing w:line="36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铜陵市公路管理服务中心</w:t>
            </w:r>
          </w:p>
        </w:tc>
      </w:tr>
      <w:tr w14:paraId="11CC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178ED1E3">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979" w:type="dxa"/>
            <w:tcBorders>
              <w:right w:val="single" w:color="auto" w:sz="4" w:space="0"/>
            </w:tcBorders>
            <w:vAlign w:val="center"/>
          </w:tcPr>
          <w:p w14:paraId="20BC3952">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建设规模</w:t>
            </w:r>
          </w:p>
        </w:tc>
        <w:tc>
          <w:tcPr>
            <w:tcW w:w="6693" w:type="dxa"/>
            <w:tcBorders>
              <w:left w:val="single" w:color="auto" w:sz="4" w:space="0"/>
              <w:right w:val="single" w:color="auto" w:sz="4" w:space="0"/>
            </w:tcBorders>
            <w:vAlign w:val="center"/>
          </w:tcPr>
          <w:p w14:paraId="2318997B">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详见“招标公告”内容</w:t>
            </w:r>
          </w:p>
        </w:tc>
      </w:tr>
      <w:tr w14:paraId="34D8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5A19E6D6">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979" w:type="dxa"/>
            <w:tcBorders>
              <w:right w:val="single" w:color="auto" w:sz="4" w:space="0"/>
            </w:tcBorders>
            <w:vAlign w:val="center"/>
          </w:tcPr>
          <w:p w14:paraId="56CD6F70">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资金来源</w:t>
            </w:r>
          </w:p>
        </w:tc>
        <w:tc>
          <w:tcPr>
            <w:tcW w:w="6693" w:type="dxa"/>
            <w:tcBorders>
              <w:left w:val="single" w:color="auto" w:sz="4" w:space="0"/>
              <w:right w:val="single" w:color="auto" w:sz="4" w:space="0"/>
            </w:tcBorders>
            <w:vAlign w:val="center"/>
          </w:tcPr>
          <w:p w14:paraId="509CC969">
            <w:pPr>
              <w:snapToGrid w:val="0"/>
              <w:spacing w:line="360" w:lineRule="exact"/>
              <w:textAlignment w:val="auto"/>
              <w:rPr>
                <w:rFonts w:hint="default" w:ascii="仿宋" w:hAnsi="仿宋" w:eastAsia="仿宋" w:cs="仿宋"/>
                <w:color w:val="auto"/>
                <w:sz w:val="21"/>
                <w:szCs w:val="21"/>
                <w:highlight w:val="none"/>
                <w:lang w:val="en-US" w:eastAsia="zh-CN"/>
              </w:rPr>
            </w:pPr>
            <w:r>
              <w:rPr>
                <w:rFonts w:hint="default" w:ascii="仿宋" w:hAnsi="仿宋" w:eastAsia="仿宋" w:cs="仿宋"/>
                <w:color w:val="auto"/>
                <w:sz w:val="21"/>
                <w:szCs w:val="21"/>
                <w:highlight w:val="none"/>
                <w:lang w:val="en-US" w:eastAsia="zh-CN"/>
              </w:rPr>
              <w:t>自筹资金</w:t>
            </w:r>
          </w:p>
        </w:tc>
      </w:tr>
      <w:tr w14:paraId="46BF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038AA1B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1979" w:type="dxa"/>
            <w:tcBorders>
              <w:right w:val="single" w:color="auto" w:sz="4" w:space="0"/>
            </w:tcBorders>
            <w:vAlign w:val="center"/>
          </w:tcPr>
          <w:p w14:paraId="354FBFA8">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招标范围</w:t>
            </w:r>
          </w:p>
        </w:tc>
        <w:tc>
          <w:tcPr>
            <w:tcW w:w="6693" w:type="dxa"/>
            <w:tcBorders>
              <w:left w:val="single" w:color="auto" w:sz="4" w:space="0"/>
              <w:right w:val="single" w:color="auto" w:sz="8" w:space="0"/>
            </w:tcBorders>
            <w:vAlign w:val="center"/>
          </w:tcPr>
          <w:p w14:paraId="328CA46E">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详见“招标公告”内容</w:t>
            </w:r>
          </w:p>
        </w:tc>
      </w:tr>
      <w:tr w14:paraId="09BB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039DACE3">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c>
          <w:tcPr>
            <w:tcW w:w="1979" w:type="dxa"/>
            <w:tcBorders>
              <w:right w:val="single" w:color="auto" w:sz="4" w:space="0"/>
            </w:tcBorders>
            <w:vAlign w:val="center"/>
          </w:tcPr>
          <w:p w14:paraId="04EDC68B">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标段划分</w:t>
            </w:r>
          </w:p>
        </w:tc>
        <w:tc>
          <w:tcPr>
            <w:tcW w:w="6693" w:type="dxa"/>
            <w:tcBorders>
              <w:left w:val="single" w:color="auto" w:sz="4" w:space="0"/>
              <w:right w:val="single" w:color="auto" w:sz="8" w:space="0"/>
            </w:tcBorders>
            <w:vAlign w:val="center"/>
          </w:tcPr>
          <w:p w14:paraId="319D88D2">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bCs/>
                <w:color w:val="auto"/>
                <w:sz w:val="21"/>
                <w:szCs w:val="21"/>
                <w:highlight w:val="none"/>
              </w:rPr>
              <w:t>一个标段</w:t>
            </w:r>
          </w:p>
        </w:tc>
      </w:tr>
      <w:tr w14:paraId="35D0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70B1DA5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1979" w:type="dxa"/>
            <w:tcBorders>
              <w:right w:val="single" w:color="auto" w:sz="4" w:space="0"/>
            </w:tcBorders>
            <w:vAlign w:val="center"/>
          </w:tcPr>
          <w:p w14:paraId="1C8E2C7E">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踏勘现场</w:t>
            </w:r>
          </w:p>
        </w:tc>
        <w:tc>
          <w:tcPr>
            <w:tcW w:w="6693" w:type="dxa"/>
            <w:tcBorders>
              <w:left w:val="single" w:color="auto" w:sz="4" w:space="0"/>
              <w:right w:val="single" w:color="auto" w:sz="8" w:space="0"/>
            </w:tcBorders>
            <w:vAlign w:val="center"/>
          </w:tcPr>
          <w:p w14:paraId="4D302FF1">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投标人自行踏勘，费用自理</w:t>
            </w:r>
          </w:p>
        </w:tc>
      </w:tr>
      <w:tr w14:paraId="3BE8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60668AB9">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p>
        </w:tc>
        <w:tc>
          <w:tcPr>
            <w:tcW w:w="1979" w:type="dxa"/>
            <w:tcBorders>
              <w:right w:val="single" w:color="auto" w:sz="4" w:space="0"/>
            </w:tcBorders>
            <w:vAlign w:val="center"/>
          </w:tcPr>
          <w:p w14:paraId="140ED412">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设计周期</w:t>
            </w:r>
          </w:p>
        </w:tc>
        <w:tc>
          <w:tcPr>
            <w:tcW w:w="6693" w:type="dxa"/>
            <w:tcBorders>
              <w:left w:val="single" w:color="auto" w:sz="4" w:space="0"/>
              <w:right w:val="single" w:color="auto" w:sz="8" w:space="0"/>
            </w:tcBorders>
            <w:vAlign w:val="center"/>
          </w:tcPr>
          <w:p w14:paraId="6CEB5E46">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详见“招标公告”内容</w:t>
            </w:r>
          </w:p>
        </w:tc>
      </w:tr>
      <w:tr w14:paraId="7815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4E01083C">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10</w:t>
            </w:r>
          </w:p>
        </w:tc>
        <w:tc>
          <w:tcPr>
            <w:tcW w:w="1979" w:type="dxa"/>
            <w:tcBorders>
              <w:right w:val="single" w:color="auto" w:sz="4" w:space="0"/>
            </w:tcBorders>
            <w:vAlign w:val="center"/>
          </w:tcPr>
          <w:p w14:paraId="106971E0">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资格审查方式</w:t>
            </w:r>
          </w:p>
        </w:tc>
        <w:tc>
          <w:tcPr>
            <w:tcW w:w="6693" w:type="dxa"/>
            <w:tcBorders>
              <w:left w:val="single" w:color="auto" w:sz="4" w:space="0"/>
              <w:right w:val="single" w:color="auto" w:sz="8" w:space="0"/>
            </w:tcBorders>
            <w:vAlign w:val="center"/>
          </w:tcPr>
          <w:p w14:paraId="26D803DF">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资格后审</w:t>
            </w:r>
          </w:p>
        </w:tc>
      </w:tr>
      <w:tr w14:paraId="2ABE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1A091DE5">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11</w:t>
            </w:r>
          </w:p>
        </w:tc>
        <w:tc>
          <w:tcPr>
            <w:tcW w:w="1979" w:type="dxa"/>
            <w:tcBorders>
              <w:right w:val="single" w:color="auto" w:sz="4" w:space="0"/>
            </w:tcBorders>
            <w:vAlign w:val="center"/>
          </w:tcPr>
          <w:p w14:paraId="1DF4481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投标人资格要求</w:t>
            </w:r>
          </w:p>
        </w:tc>
        <w:tc>
          <w:tcPr>
            <w:tcW w:w="6693" w:type="dxa"/>
            <w:tcBorders>
              <w:left w:val="single" w:color="auto" w:sz="4" w:space="0"/>
              <w:right w:val="single" w:color="auto" w:sz="8" w:space="0"/>
            </w:tcBorders>
            <w:vAlign w:val="center"/>
          </w:tcPr>
          <w:p w14:paraId="39B33CC9">
            <w:pPr>
              <w:widowControl/>
              <w:snapToGrid w:val="0"/>
              <w:spacing w:line="36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详见“招标公告”中约定</w:t>
            </w:r>
          </w:p>
        </w:tc>
      </w:tr>
      <w:tr w14:paraId="3476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8" w:type="dxa"/>
            <w:tcBorders>
              <w:left w:val="single" w:color="auto" w:sz="8" w:space="0"/>
            </w:tcBorders>
            <w:vAlign w:val="center"/>
          </w:tcPr>
          <w:p w14:paraId="247583B7">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12</w:t>
            </w:r>
          </w:p>
        </w:tc>
        <w:tc>
          <w:tcPr>
            <w:tcW w:w="1979" w:type="dxa"/>
            <w:tcBorders>
              <w:right w:val="single" w:color="auto" w:sz="4" w:space="0"/>
            </w:tcBorders>
            <w:vAlign w:val="center"/>
          </w:tcPr>
          <w:p w14:paraId="1151BC0E">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履约保证金</w:t>
            </w:r>
          </w:p>
        </w:tc>
        <w:tc>
          <w:tcPr>
            <w:tcW w:w="6693" w:type="dxa"/>
            <w:tcBorders>
              <w:left w:val="single" w:color="auto" w:sz="4" w:space="0"/>
              <w:right w:val="single" w:color="auto" w:sz="8" w:space="0"/>
            </w:tcBorders>
            <w:vAlign w:val="center"/>
          </w:tcPr>
          <w:p w14:paraId="438348DB">
            <w:pPr>
              <w:snapToGrid w:val="0"/>
              <w:spacing w:line="36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无</w:t>
            </w:r>
          </w:p>
        </w:tc>
      </w:tr>
      <w:tr w14:paraId="0203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4355E32A">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13</w:t>
            </w:r>
          </w:p>
        </w:tc>
        <w:tc>
          <w:tcPr>
            <w:tcW w:w="1979" w:type="dxa"/>
            <w:tcBorders>
              <w:right w:val="single" w:color="auto" w:sz="4" w:space="0"/>
            </w:tcBorders>
            <w:vAlign w:val="center"/>
          </w:tcPr>
          <w:p w14:paraId="7DB1344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控制费率</w:t>
            </w:r>
          </w:p>
        </w:tc>
        <w:tc>
          <w:tcPr>
            <w:tcW w:w="6693" w:type="dxa"/>
            <w:tcBorders>
              <w:left w:val="single" w:color="auto" w:sz="4" w:space="0"/>
              <w:right w:val="single" w:color="auto" w:sz="8" w:space="0"/>
            </w:tcBorders>
            <w:vAlign w:val="center"/>
          </w:tcPr>
          <w:p w14:paraId="2E59BD78">
            <w:pPr>
              <w:widowControl/>
              <w:spacing w:line="360" w:lineRule="exac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7.4</w:t>
            </w:r>
            <w:r>
              <w:rPr>
                <w:rFonts w:hint="eastAsia" w:ascii="仿宋" w:hAnsi="仿宋" w:eastAsia="仿宋" w:cs="仿宋"/>
                <w:color w:val="auto"/>
                <w:sz w:val="21"/>
                <w:szCs w:val="21"/>
                <w:highlight w:val="none"/>
              </w:rPr>
              <w:t>%</w:t>
            </w:r>
          </w:p>
          <w:p w14:paraId="1E6250E7">
            <w:pPr>
              <w:widowControl/>
              <w:spacing w:line="36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设计费合同总额=中标费率×经发包人公布的工程招标控制价总额（不含暂列金额）</w:t>
            </w:r>
          </w:p>
        </w:tc>
      </w:tr>
      <w:tr w14:paraId="6B9E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tcBorders>
            <w:vAlign w:val="center"/>
          </w:tcPr>
          <w:p w14:paraId="6E914195">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14</w:t>
            </w:r>
          </w:p>
        </w:tc>
        <w:tc>
          <w:tcPr>
            <w:tcW w:w="1979" w:type="dxa"/>
            <w:tcBorders>
              <w:right w:val="single" w:color="auto" w:sz="4" w:space="0"/>
            </w:tcBorders>
            <w:vAlign w:val="center"/>
          </w:tcPr>
          <w:p w14:paraId="40BD5BC9">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投标有效期</w:t>
            </w:r>
          </w:p>
        </w:tc>
        <w:tc>
          <w:tcPr>
            <w:tcW w:w="6693" w:type="dxa"/>
            <w:tcBorders>
              <w:left w:val="single" w:color="auto" w:sz="4" w:space="0"/>
              <w:right w:val="single" w:color="auto" w:sz="8" w:space="0"/>
            </w:tcBorders>
            <w:vAlign w:val="center"/>
          </w:tcPr>
          <w:p w14:paraId="58F2DAB1">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投标文件提交截止时间后60天内有效</w:t>
            </w:r>
          </w:p>
        </w:tc>
      </w:tr>
      <w:tr w14:paraId="5D06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bottom w:val="single" w:color="auto" w:sz="4" w:space="0"/>
            </w:tcBorders>
            <w:vAlign w:val="center"/>
          </w:tcPr>
          <w:p w14:paraId="6AC30C7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15</w:t>
            </w:r>
          </w:p>
        </w:tc>
        <w:tc>
          <w:tcPr>
            <w:tcW w:w="1979" w:type="dxa"/>
            <w:tcBorders>
              <w:bottom w:val="single" w:color="auto" w:sz="4" w:space="0"/>
              <w:right w:val="single" w:color="auto" w:sz="4" w:space="0"/>
            </w:tcBorders>
            <w:vAlign w:val="center"/>
          </w:tcPr>
          <w:p w14:paraId="7ECB3105">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投标保证金</w:t>
            </w:r>
          </w:p>
        </w:tc>
        <w:tc>
          <w:tcPr>
            <w:tcW w:w="6693" w:type="dxa"/>
            <w:tcBorders>
              <w:left w:val="single" w:color="auto" w:sz="4" w:space="0"/>
              <w:bottom w:val="single" w:color="auto" w:sz="4" w:space="0"/>
              <w:right w:val="single" w:color="auto" w:sz="8" w:space="0"/>
            </w:tcBorders>
            <w:vAlign w:val="center"/>
          </w:tcPr>
          <w:p w14:paraId="35FC88D8">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无</w:t>
            </w:r>
          </w:p>
        </w:tc>
      </w:tr>
      <w:tr w14:paraId="7211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8" w:type="dxa"/>
            <w:tcBorders>
              <w:left w:val="single" w:color="auto" w:sz="8" w:space="0"/>
              <w:bottom w:val="single" w:color="auto" w:sz="4" w:space="0"/>
            </w:tcBorders>
            <w:vAlign w:val="center"/>
          </w:tcPr>
          <w:p w14:paraId="795AD3D0">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16</w:t>
            </w:r>
          </w:p>
        </w:tc>
        <w:tc>
          <w:tcPr>
            <w:tcW w:w="1979" w:type="dxa"/>
            <w:tcBorders>
              <w:bottom w:val="single" w:color="auto" w:sz="4" w:space="0"/>
              <w:right w:val="single" w:color="auto" w:sz="4" w:space="0"/>
            </w:tcBorders>
            <w:vAlign w:val="center"/>
          </w:tcPr>
          <w:p w14:paraId="0B819C6F">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投标文件</w:t>
            </w:r>
          </w:p>
        </w:tc>
        <w:tc>
          <w:tcPr>
            <w:tcW w:w="6693" w:type="dxa"/>
            <w:tcBorders>
              <w:left w:val="single" w:color="auto" w:sz="4" w:space="0"/>
              <w:bottom w:val="single" w:color="auto" w:sz="4" w:space="0"/>
              <w:right w:val="single" w:color="auto" w:sz="8" w:space="0"/>
            </w:tcBorders>
            <w:vAlign w:val="center"/>
          </w:tcPr>
          <w:p w14:paraId="34CA86C3">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需提供纸质文件一份正本、</w:t>
            </w:r>
            <w:r>
              <w:rPr>
                <w:rFonts w:hint="eastAsia" w:ascii="仿宋" w:hAnsi="仿宋" w:eastAsia="仿宋" w:cs="仿宋"/>
                <w:color w:val="auto"/>
                <w:sz w:val="21"/>
                <w:szCs w:val="21"/>
                <w:highlight w:val="none"/>
                <w:lang w:val="en-US" w:eastAsia="zh-CN"/>
              </w:rPr>
              <w:t>贰</w:t>
            </w:r>
            <w:r>
              <w:rPr>
                <w:rFonts w:hint="eastAsia" w:ascii="仿宋" w:hAnsi="仿宋" w:eastAsia="仿宋" w:cs="仿宋"/>
                <w:color w:val="auto"/>
                <w:sz w:val="21"/>
                <w:szCs w:val="21"/>
                <w:highlight w:val="none"/>
              </w:rPr>
              <w:t>份副本（均含资信标、技术标、商务标），电子U盘一份。</w:t>
            </w:r>
          </w:p>
        </w:tc>
      </w:tr>
      <w:tr w14:paraId="1B98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exact"/>
          <w:jc w:val="center"/>
        </w:trPr>
        <w:tc>
          <w:tcPr>
            <w:tcW w:w="908" w:type="dxa"/>
            <w:tcBorders>
              <w:left w:val="single" w:color="auto" w:sz="8" w:space="0"/>
            </w:tcBorders>
            <w:vAlign w:val="center"/>
          </w:tcPr>
          <w:p w14:paraId="069AC692">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17</w:t>
            </w:r>
          </w:p>
        </w:tc>
        <w:tc>
          <w:tcPr>
            <w:tcW w:w="1979" w:type="dxa"/>
            <w:tcBorders>
              <w:right w:val="single" w:color="auto" w:sz="4" w:space="0"/>
            </w:tcBorders>
            <w:vAlign w:val="center"/>
          </w:tcPr>
          <w:p w14:paraId="4B44A8CC">
            <w:pPr>
              <w:pStyle w:val="66"/>
              <w:widowControl w:val="0"/>
              <w:snapToGrid w:val="0"/>
              <w:spacing w:before="0" w:beforeAutospacing="0" w:after="0" w:afterAutospacing="0" w:line="360" w:lineRule="exact"/>
              <w:jc w:val="center"/>
              <w:rPr>
                <w:rStyle w:val="39"/>
                <w:rFonts w:ascii="仿宋" w:hAnsi="仿宋" w:eastAsia="仿宋" w:cs="仿宋"/>
                <w:b w:val="0"/>
                <w:color w:val="auto"/>
                <w:sz w:val="21"/>
                <w:szCs w:val="21"/>
                <w:highlight w:val="none"/>
              </w:rPr>
            </w:pPr>
            <w:r>
              <w:rPr>
                <w:rStyle w:val="39"/>
                <w:rFonts w:hint="eastAsia" w:ascii="仿宋" w:hAnsi="仿宋" w:eastAsia="仿宋" w:cs="仿宋"/>
                <w:b w:val="0"/>
                <w:color w:val="auto"/>
                <w:sz w:val="21"/>
                <w:szCs w:val="21"/>
                <w:highlight w:val="none"/>
              </w:rPr>
              <w:t>评标定标办法</w:t>
            </w:r>
          </w:p>
        </w:tc>
        <w:tc>
          <w:tcPr>
            <w:tcW w:w="6693" w:type="dxa"/>
            <w:tcBorders>
              <w:left w:val="single" w:color="auto" w:sz="4" w:space="0"/>
              <w:right w:val="single" w:color="auto" w:sz="8" w:space="0"/>
            </w:tcBorders>
            <w:vAlign w:val="center"/>
          </w:tcPr>
          <w:p w14:paraId="6C8CC101">
            <w:pPr>
              <w:snapToGrid w:val="0"/>
              <w:spacing w:line="360" w:lineRule="exact"/>
              <w:textAlignment w:val="auto"/>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本项目采用综合评分法</w:t>
            </w:r>
          </w:p>
        </w:tc>
      </w:tr>
      <w:tr w14:paraId="74A9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908" w:type="dxa"/>
            <w:tcBorders>
              <w:left w:val="single" w:color="auto" w:sz="8" w:space="0"/>
            </w:tcBorders>
            <w:vAlign w:val="center"/>
          </w:tcPr>
          <w:p w14:paraId="5F07F590">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18</w:t>
            </w:r>
          </w:p>
        </w:tc>
        <w:tc>
          <w:tcPr>
            <w:tcW w:w="1979" w:type="dxa"/>
            <w:tcBorders>
              <w:right w:val="single" w:color="auto" w:sz="4" w:space="0"/>
            </w:tcBorders>
            <w:vAlign w:val="center"/>
          </w:tcPr>
          <w:p w14:paraId="594063C3">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投标设计成果文件补偿费用</w:t>
            </w:r>
          </w:p>
        </w:tc>
        <w:tc>
          <w:tcPr>
            <w:tcW w:w="6693" w:type="dxa"/>
            <w:tcBorders>
              <w:left w:val="single" w:color="auto" w:sz="4" w:space="0"/>
              <w:right w:val="single" w:color="auto" w:sz="8" w:space="0"/>
            </w:tcBorders>
            <w:vAlign w:val="center"/>
          </w:tcPr>
          <w:p w14:paraId="061A3FD5">
            <w:pPr>
              <w:pStyle w:val="6"/>
              <w:keepNext w:val="0"/>
              <w:keepLines w:val="0"/>
              <w:adjustRightInd/>
              <w:snapToGrid w:val="0"/>
              <w:spacing w:before="0" w:after="0" w:line="360" w:lineRule="exact"/>
              <w:rPr>
                <w:rFonts w:ascii="仿宋" w:hAnsi="仿宋" w:eastAsia="仿宋" w:cs="仿宋"/>
                <w:b w:val="0"/>
                <w:color w:val="auto"/>
                <w:sz w:val="21"/>
                <w:szCs w:val="21"/>
                <w:highlight w:val="none"/>
              </w:rPr>
            </w:pPr>
            <w:r>
              <w:rPr>
                <w:rFonts w:hint="eastAsia" w:ascii="仿宋" w:hAnsi="仿宋" w:eastAsia="仿宋" w:cs="仿宋"/>
                <w:b w:val="0"/>
                <w:bCs w:val="0"/>
                <w:color w:val="auto"/>
                <w:sz w:val="21"/>
                <w:szCs w:val="21"/>
                <w:highlight w:val="none"/>
              </w:rPr>
              <w:t>无论是否为中标候选人均不给予</w:t>
            </w:r>
            <w:r>
              <w:rPr>
                <w:rFonts w:hint="eastAsia" w:ascii="仿宋" w:hAnsi="仿宋" w:eastAsia="仿宋" w:cs="仿宋"/>
                <w:b w:val="0"/>
                <w:bCs w:val="0"/>
                <w:color w:val="auto"/>
                <w:sz w:val="21"/>
                <w:szCs w:val="21"/>
                <w:highlight w:val="none"/>
                <w:lang w:eastAsia="zh-CN"/>
              </w:rPr>
              <w:t>补偿</w:t>
            </w:r>
            <w:r>
              <w:rPr>
                <w:rFonts w:hint="eastAsia" w:ascii="仿宋" w:hAnsi="仿宋" w:eastAsia="仿宋" w:cs="仿宋"/>
                <w:b w:val="0"/>
                <w:bCs w:val="0"/>
                <w:color w:val="auto"/>
                <w:sz w:val="21"/>
                <w:szCs w:val="21"/>
                <w:highlight w:val="none"/>
              </w:rPr>
              <w:t>；参加本项目的所有投标人在开标后，其成果文件的所有权必须无条件转让给招标人。</w:t>
            </w:r>
          </w:p>
        </w:tc>
      </w:tr>
      <w:tr w14:paraId="31DD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908" w:type="dxa"/>
            <w:tcBorders>
              <w:left w:val="single" w:color="auto" w:sz="8" w:space="0"/>
            </w:tcBorders>
            <w:vAlign w:val="center"/>
          </w:tcPr>
          <w:p w14:paraId="5CDA0643">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19</w:t>
            </w:r>
          </w:p>
        </w:tc>
        <w:tc>
          <w:tcPr>
            <w:tcW w:w="1979" w:type="dxa"/>
            <w:tcBorders>
              <w:right w:val="single" w:color="auto" w:sz="4" w:space="0"/>
            </w:tcBorders>
            <w:vAlign w:val="center"/>
          </w:tcPr>
          <w:p w14:paraId="52B78EA3">
            <w:pPr>
              <w:snapToGrid w:val="0"/>
              <w:spacing w:line="360" w:lineRule="exact"/>
              <w:jc w:val="center"/>
              <w:textAlignment w:val="auto"/>
              <w:rPr>
                <w:rFonts w:ascii="仿宋" w:hAnsi="仿宋" w:eastAsia="仿宋" w:cs="仿宋"/>
                <w:b/>
                <w:color w:val="auto"/>
                <w:sz w:val="21"/>
                <w:szCs w:val="21"/>
                <w:highlight w:val="none"/>
              </w:rPr>
            </w:pPr>
            <w:r>
              <w:rPr>
                <w:rFonts w:hint="eastAsia" w:ascii="仿宋" w:hAnsi="仿宋" w:eastAsia="仿宋" w:cs="仿宋"/>
                <w:color w:val="auto"/>
                <w:sz w:val="21"/>
                <w:szCs w:val="21"/>
                <w:highlight w:val="none"/>
              </w:rPr>
              <w:t>重要提示1</w:t>
            </w:r>
          </w:p>
        </w:tc>
        <w:tc>
          <w:tcPr>
            <w:tcW w:w="6693" w:type="dxa"/>
            <w:tcBorders>
              <w:left w:val="single" w:color="auto" w:sz="4" w:space="0"/>
              <w:right w:val="single" w:color="auto" w:sz="8" w:space="0"/>
            </w:tcBorders>
            <w:vAlign w:val="center"/>
          </w:tcPr>
          <w:p w14:paraId="6B67FDDC">
            <w:pPr>
              <w:snapToGrid w:val="0"/>
              <w:spacing w:line="36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对招标文件的修改将在招标公告发布的同一网站发布，所有潜在投标人在投标截止时间前有义务自行查询。</w:t>
            </w:r>
          </w:p>
        </w:tc>
      </w:tr>
      <w:tr w14:paraId="6B64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jc w:val="center"/>
        </w:trPr>
        <w:tc>
          <w:tcPr>
            <w:tcW w:w="908" w:type="dxa"/>
            <w:tcBorders>
              <w:left w:val="single" w:color="auto" w:sz="8" w:space="0"/>
            </w:tcBorders>
            <w:vAlign w:val="center"/>
          </w:tcPr>
          <w:p w14:paraId="28114766">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20</w:t>
            </w:r>
          </w:p>
        </w:tc>
        <w:tc>
          <w:tcPr>
            <w:tcW w:w="1979" w:type="dxa"/>
            <w:tcBorders>
              <w:right w:val="single" w:color="auto" w:sz="4" w:space="0"/>
            </w:tcBorders>
            <w:vAlign w:val="center"/>
          </w:tcPr>
          <w:p w14:paraId="126052BB">
            <w:pPr>
              <w:snapToGrid w:val="0"/>
              <w:spacing w:line="360" w:lineRule="exact"/>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重要提示</w:t>
            </w:r>
            <w:r>
              <w:rPr>
                <w:rFonts w:hint="eastAsia" w:ascii="仿宋" w:hAnsi="仿宋" w:eastAsia="仿宋" w:cs="仿宋"/>
                <w:color w:val="auto"/>
                <w:sz w:val="21"/>
                <w:szCs w:val="21"/>
                <w:highlight w:val="none"/>
                <w:lang w:val="en-US" w:eastAsia="zh-CN"/>
              </w:rPr>
              <w:t>2</w:t>
            </w:r>
          </w:p>
        </w:tc>
        <w:tc>
          <w:tcPr>
            <w:tcW w:w="6693" w:type="dxa"/>
            <w:tcBorders>
              <w:left w:val="single" w:color="auto" w:sz="4" w:space="0"/>
              <w:right w:val="single" w:color="auto" w:sz="8" w:space="0"/>
            </w:tcBorders>
            <w:vAlign w:val="center"/>
          </w:tcPr>
          <w:p w14:paraId="08E39D9C">
            <w:pPr>
              <w:snapToGrid w:val="0"/>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1.中标候选人业绩及项目负责人经评审符合招标文件要求的业绩情况将在预中标公示中一并公开。</w:t>
            </w:r>
          </w:p>
          <w:p w14:paraId="28E4D18D">
            <w:pPr>
              <w:snapToGrid w:val="0"/>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2.签章需在空白处，不要遮挡重要数据，否则可能导致被评委判定为废标。</w:t>
            </w:r>
          </w:p>
          <w:p w14:paraId="651C3E8C">
            <w:pPr>
              <w:snapToGrid w:val="0"/>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3.如有多个评审环节需要提供相同的资料，投标人应在最靠前的评审环节提供，并在后续的评审环节中</w:t>
            </w:r>
            <w:r>
              <w:rPr>
                <w:rFonts w:hint="eastAsia" w:ascii="仿宋" w:hAnsi="仿宋" w:eastAsia="仿宋" w:cs="仿宋"/>
                <w:bCs/>
                <w:color w:val="auto"/>
                <w:sz w:val="21"/>
                <w:szCs w:val="21"/>
                <w:highlight w:val="none"/>
                <w:lang w:eastAsia="zh-CN"/>
              </w:rPr>
              <w:t>注明</w:t>
            </w:r>
            <w:r>
              <w:rPr>
                <w:rFonts w:hint="eastAsia" w:ascii="仿宋" w:hAnsi="仿宋" w:eastAsia="仿宋" w:cs="仿宋"/>
                <w:bCs/>
                <w:color w:val="auto"/>
                <w:sz w:val="21"/>
                <w:szCs w:val="21"/>
                <w:highlight w:val="none"/>
              </w:rPr>
              <w:t>投标文件的某个部分，以方便评委评审。</w:t>
            </w:r>
          </w:p>
          <w:p w14:paraId="12A0FD01">
            <w:pPr>
              <w:snapToGrid w:val="0"/>
              <w:spacing w:line="360" w:lineRule="exact"/>
              <w:textAlignment w:val="auto"/>
              <w:rPr>
                <w:color w:val="auto"/>
                <w:highlight w:val="none"/>
              </w:rPr>
            </w:pPr>
            <w:r>
              <w:rPr>
                <w:rFonts w:hint="eastAsia" w:ascii="仿宋" w:hAnsi="仿宋" w:eastAsia="仿宋" w:cs="仿宋"/>
                <w:bCs/>
                <w:color w:val="auto"/>
                <w:sz w:val="21"/>
                <w:szCs w:val="21"/>
                <w:highlight w:val="none"/>
              </w:rPr>
              <w:t>4.专家质询、业绩奖项等客观得分通知、否决投标通知及投标人的答复均现场告知</w:t>
            </w:r>
            <w:r>
              <w:rPr>
                <w:rFonts w:ascii="仿宋" w:hAnsi="仿宋" w:eastAsia="仿宋" w:cs="仿宋"/>
                <w:bCs/>
                <w:color w:val="auto"/>
                <w:sz w:val="21"/>
                <w:szCs w:val="21"/>
                <w:highlight w:val="none"/>
              </w:rPr>
              <w:t>，请各投标人关注并在30分钟内进行回复</w:t>
            </w:r>
            <w:r>
              <w:rPr>
                <w:rFonts w:hint="eastAsia" w:ascii="仿宋" w:hAnsi="仿宋" w:eastAsia="仿宋" w:cs="仿宋"/>
                <w:bCs/>
                <w:color w:val="auto"/>
                <w:sz w:val="21"/>
                <w:szCs w:val="21"/>
                <w:highlight w:val="none"/>
              </w:rPr>
              <w:t>，逾期未回复的，视同放弃澄清的权利或认可该通知。</w:t>
            </w:r>
          </w:p>
        </w:tc>
      </w:tr>
      <w:tr w14:paraId="30E9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5" w:hRule="atLeast"/>
          <w:jc w:val="center"/>
        </w:trPr>
        <w:tc>
          <w:tcPr>
            <w:tcW w:w="908" w:type="dxa"/>
            <w:tcBorders>
              <w:left w:val="single" w:color="auto" w:sz="8" w:space="0"/>
            </w:tcBorders>
            <w:vAlign w:val="center"/>
          </w:tcPr>
          <w:p w14:paraId="727DCAA8">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21</w:t>
            </w:r>
          </w:p>
        </w:tc>
        <w:tc>
          <w:tcPr>
            <w:tcW w:w="1979" w:type="dxa"/>
            <w:tcBorders>
              <w:right w:val="single" w:color="auto" w:sz="4" w:space="0"/>
            </w:tcBorders>
            <w:vAlign w:val="center"/>
          </w:tcPr>
          <w:p w14:paraId="3B2740ED">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重要提示3</w:t>
            </w:r>
          </w:p>
        </w:tc>
        <w:tc>
          <w:tcPr>
            <w:tcW w:w="6693" w:type="dxa"/>
            <w:tcBorders>
              <w:left w:val="single" w:color="auto" w:sz="4" w:space="0"/>
              <w:right w:val="single" w:color="auto" w:sz="8" w:space="0"/>
            </w:tcBorders>
            <w:vAlign w:val="center"/>
          </w:tcPr>
          <w:p w14:paraId="20258A2A">
            <w:pPr>
              <w:snapToGrid w:val="0"/>
              <w:spacing w:line="360" w:lineRule="exact"/>
              <w:textAlignment w:val="auto"/>
              <w:rPr>
                <w:color w:val="auto"/>
                <w:highlight w:val="none"/>
              </w:rPr>
            </w:pPr>
            <w:r>
              <w:rPr>
                <w:rFonts w:hint="eastAsia" w:ascii="仿宋" w:hAnsi="仿宋" w:eastAsia="仿宋" w:cs="仿宋"/>
                <w:bCs/>
                <w:color w:val="auto"/>
                <w:sz w:val="21"/>
                <w:szCs w:val="21"/>
                <w:highlight w:val="none"/>
              </w:rPr>
              <w:t>投标人拟派项目负责人必须是投标人本单位员工；该负责人为投标单位唯一指定，并自始至终负责本工程的全程勘察设计（含汇报）、报批、审图及后期服务等，投标单位不得提出两名或两名以上的项目负责人，不得由其他人代理中标项目负责人的工作，中标单位项目负责人不得在其单位内转包、分包。</w:t>
            </w:r>
          </w:p>
        </w:tc>
      </w:tr>
      <w:tr w14:paraId="4AA9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908" w:type="dxa"/>
            <w:tcBorders>
              <w:left w:val="single" w:color="auto" w:sz="8" w:space="0"/>
            </w:tcBorders>
            <w:vAlign w:val="center"/>
          </w:tcPr>
          <w:p w14:paraId="56E319D4">
            <w:pPr>
              <w:snapToGrid w:val="0"/>
              <w:spacing w:line="360" w:lineRule="exact"/>
              <w:jc w:val="center"/>
              <w:textAlignment w:val="auto"/>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rPr>
              <w:t>22</w:t>
            </w:r>
          </w:p>
        </w:tc>
        <w:tc>
          <w:tcPr>
            <w:tcW w:w="1979" w:type="dxa"/>
            <w:tcBorders>
              <w:right w:val="single" w:color="auto" w:sz="4" w:space="0"/>
            </w:tcBorders>
            <w:vAlign w:val="center"/>
          </w:tcPr>
          <w:p w14:paraId="3A307FAD">
            <w:pPr>
              <w:snapToGrid w:val="0"/>
              <w:spacing w:line="36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招标代理服务费</w:t>
            </w:r>
          </w:p>
        </w:tc>
        <w:tc>
          <w:tcPr>
            <w:tcW w:w="6693" w:type="dxa"/>
            <w:tcBorders>
              <w:left w:val="single" w:color="auto" w:sz="4" w:space="0"/>
              <w:right w:val="single" w:color="auto" w:sz="8" w:space="0"/>
            </w:tcBorders>
            <w:vAlign w:val="center"/>
          </w:tcPr>
          <w:p w14:paraId="56AAF7A4">
            <w:pPr>
              <w:snapToGrid w:val="0"/>
              <w:spacing w:line="36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本项目以下费用：</w:t>
            </w:r>
            <w:r>
              <w:rPr>
                <w:rFonts w:hint="eastAsia" w:hAnsi="宋体" w:cs="宋体"/>
                <w:bCs/>
                <w:snapToGrid w:val="0"/>
                <w:color w:val="auto"/>
                <w:sz w:val="18"/>
                <w:szCs w:val="18"/>
                <w:highlight w:val="none"/>
              </w:rPr>
              <w:sym w:font="Wingdings 2" w:char="00A3"/>
            </w:r>
            <w:r>
              <w:rPr>
                <w:rFonts w:hint="eastAsia" w:ascii="仿宋" w:hAnsi="仿宋" w:eastAsia="仿宋" w:cs="仿宋"/>
                <w:bCs/>
                <w:color w:val="auto"/>
                <w:sz w:val="21"/>
                <w:szCs w:val="21"/>
                <w:highlight w:val="none"/>
              </w:rPr>
              <w:t xml:space="preserve">招标人支付 </w:t>
            </w:r>
            <w:r>
              <w:rPr>
                <w:rFonts w:hint="eastAsia" w:hAnsi="宋体" w:cs="宋体"/>
                <w:bCs/>
                <w:snapToGrid w:val="0"/>
                <w:color w:val="auto"/>
                <w:sz w:val="18"/>
                <w:szCs w:val="18"/>
                <w:highlight w:val="none"/>
              </w:rPr>
              <w:sym w:font="Wingdings 2" w:char="0052"/>
            </w:r>
            <w:r>
              <w:rPr>
                <w:rFonts w:hint="eastAsia" w:ascii="仿宋" w:hAnsi="仿宋" w:eastAsia="仿宋" w:cs="仿宋"/>
                <w:bCs/>
                <w:color w:val="auto"/>
                <w:sz w:val="21"/>
                <w:szCs w:val="21"/>
                <w:highlight w:val="none"/>
              </w:rPr>
              <w:t>中标人支付</w:t>
            </w:r>
          </w:p>
          <w:p w14:paraId="6DAF2BDF">
            <w:pPr>
              <w:snapToGrid w:val="0"/>
              <w:spacing w:line="36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招标代理费</w:t>
            </w:r>
            <w:r>
              <w:rPr>
                <w:rFonts w:hint="eastAsia" w:ascii="仿宋" w:hAnsi="仿宋" w:eastAsia="仿宋" w:cs="仿宋"/>
                <w:bCs/>
                <w:color w:val="auto"/>
                <w:sz w:val="21"/>
                <w:szCs w:val="21"/>
                <w:highlight w:val="none"/>
                <w:lang w:val="en-US" w:eastAsia="zh-CN"/>
              </w:rPr>
              <w:t>3000</w:t>
            </w:r>
            <w:r>
              <w:rPr>
                <w:rFonts w:hint="eastAsia" w:ascii="仿宋" w:hAnsi="仿宋" w:eastAsia="仿宋" w:cs="仿宋"/>
                <w:bCs/>
                <w:color w:val="auto"/>
                <w:sz w:val="21"/>
                <w:szCs w:val="21"/>
                <w:highlight w:val="none"/>
              </w:rPr>
              <w:t>元，上述费用在报价清单中不单列，投标人投标报价时综合考虑以上费用成本并包含在投标总价中，中标人在领取中标通知书之前一次性支付，不得再向招标人收取。（备注：此费用不含专家评审费，代理机构据实提供专家签字的评审费用表，由中标单位支付）</w:t>
            </w:r>
          </w:p>
        </w:tc>
      </w:tr>
      <w:tr w14:paraId="4C6F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3" w:hRule="atLeast"/>
          <w:jc w:val="center"/>
        </w:trPr>
        <w:tc>
          <w:tcPr>
            <w:tcW w:w="908" w:type="dxa"/>
            <w:tcBorders>
              <w:left w:val="single" w:color="auto" w:sz="8" w:space="0"/>
            </w:tcBorders>
            <w:vAlign w:val="center"/>
          </w:tcPr>
          <w:p w14:paraId="4BEB9EF2">
            <w:pPr>
              <w:snapToGrid w:val="0"/>
              <w:spacing w:line="360" w:lineRule="exact"/>
              <w:jc w:val="center"/>
              <w:textAlignment w:val="auto"/>
              <w:rPr>
                <w:rFonts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rPr>
              <w:t>23</w:t>
            </w:r>
          </w:p>
        </w:tc>
        <w:tc>
          <w:tcPr>
            <w:tcW w:w="1979" w:type="dxa"/>
            <w:tcBorders>
              <w:right w:val="single" w:color="auto" w:sz="4" w:space="0"/>
            </w:tcBorders>
            <w:vAlign w:val="center"/>
          </w:tcPr>
          <w:p w14:paraId="7860A161">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领取中标通知书及合同签订要求</w:t>
            </w:r>
          </w:p>
        </w:tc>
        <w:tc>
          <w:tcPr>
            <w:tcW w:w="6693" w:type="dxa"/>
            <w:tcBorders>
              <w:left w:val="single" w:color="auto" w:sz="4" w:space="0"/>
              <w:right w:val="single" w:color="auto" w:sz="8" w:space="0"/>
            </w:tcBorders>
          </w:tcPr>
          <w:p w14:paraId="38934255">
            <w:pPr>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1.中标人应在中标公示发布后的</w:t>
            </w:r>
            <w:r>
              <w:rPr>
                <w:rFonts w:hint="eastAsia" w:ascii="仿宋" w:hAnsi="仿宋" w:eastAsia="仿宋" w:cs="仿宋"/>
                <w:bCs/>
                <w:color w:val="auto"/>
                <w:sz w:val="21"/>
                <w:szCs w:val="21"/>
                <w:highlight w:val="none"/>
                <w:u w:val="single"/>
              </w:rPr>
              <w:t xml:space="preserve">  5  </w:t>
            </w:r>
            <w:r>
              <w:rPr>
                <w:rFonts w:hint="eastAsia" w:ascii="仿宋" w:hAnsi="仿宋" w:eastAsia="仿宋" w:cs="仿宋"/>
                <w:bCs/>
                <w:color w:val="auto"/>
                <w:sz w:val="21"/>
                <w:szCs w:val="21"/>
                <w:highlight w:val="none"/>
              </w:rPr>
              <w:t>天内领取《中标通知书》，逾期不领取视为放弃中标资格，招标人有权取消中标人中标资格，并将相关情况报送监管部门，由监管部门按规定处理。</w:t>
            </w:r>
          </w:p>
          <w:p w14:paraId="68F9449C">
            <w:pPr>
              <w:spacing w:line="360" w:lineRule="exact"/>
              <w:textAlignment w:val="auto"/>
              <w:rPr>
                <w:rFonts w:ascii="仿宋" w:hAnsi="仿宋" w:eastAsia="仿宋" w:cs="仿宋"/>
                <w:b/>
                <w:bCs/>
                <w:color w:val="auto"/>
                <w:kern w:val="2"/>
                <w:sz w:val="21"/>
                <w:szCs w:val="21"/>
                <w:highlight w:val="none"/>
              </w:rPr>
            </w:pPr>
            <w:r>
              <w:rPr>
                <w:rFonts w:hint="eastAsia" w:ascii="仿宋" w:hAnsi="仿宋" w:eastAsia="仿宋" w:cs="仿宋"/>
                <w:bCs/>
                <w:color w:val="auto"/>
                <w:sz w:val="21"/>
                <w:szCs w:val="21"/>
                <w:highlight w:val="none"/>
              </w:rPr>
              <w:t>2.中标人应在领取《中标通知书》后的</w:t>
            </w:r>
            <w:r>
              <w:rPr>
                <w:rFonts w:hint="eastAsia" w:ascii="仿宋" w:hAnsi="仿宋" w:eastAsia="仿宋" w:cs="仿宋"/>
                <w:bCs/>
                <w:color w:val="auto"/>
                <w:sz w:val="21"/>
                <w:szCs w:val="21"/>
                <w:highlight w:val="none"/>
                <w:u w:val="single"/>
              </w:rPr>
              <w:t>15</w:t>
            </w:r>
            <w:r>
              <w:rPr>
                <w:rFonts w:hint="eastAsia" w:ascii="仿宋" w:hAnsi="仿宋" w:eastAsia="仿宋" w:cs="仿宋"/>
                <w:bCs/>
                <w:color w:val="auto"/>
                <w:sz w:val="21"/>
                <w:szCs w:val="21"/>
                <w:highlight w:val="none"/>
              </w:rPr>
              <w:t>天内提交履约担保并与招标人签订合同，逾期未提交履约担保或签订合同的，招标人有权拒签合同、取消中标人中标资格，并将相关违约行为报送监管部门，由监管部门按规定处理。</w:t>
            </w:r>
          </w:p>
        </w:tc>
      </w:tr>
      <w:tr w14:paraId="7E61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1" w:hRule="atLeast"/>
          <w:jc w:val="center"/>
        </w:trPr>
        <w:tc>
          <w:tcPr>
            <w:tcW w:w="908" w:type="dxa"/>
            <w:tcBorders>
              <w:left w:val="single" w:color="auto" w:sz="8" w:space="0"/>
            </w:tcBorders>
            <w:vAlign w:val="center"/>
          </w:tcPr>
          <w:p w14:paraId="73911DA5">
            <w:pPr>
              <w:snapToGrid w:val="0"/>
              <w:spacing w:line="360" w:lineRule="exact"/>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w:t>
            </w:r>
          </w:p>
        </w:tc>
        <w:tc>
          <w:tcPr>
            <w:tcW w:w="1979" w:type="dxa"/>
            <w:tcBorders>
              <w:right w:val="single" w:color="auto" w:sz="4" w:space="0"/>
            </w:tcBorders>
            <w:vAlign w:val="center"/>
          </w:tcPr>
          <w:p w14:paraId="56E9CA4C">
            <w:pPr>
              <w:snapToGrid w:val="0"/>
              <w:spacing w:line="360" w:lineRule="exact"/>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招标文件的解释权顺序</w:t>
            </w:r>
          </w:p>
        </w:tc>
        <w:tc>
          <w:tcPr>
            <w:tcW w:w="6693" w:type="dxa"/>
            <w:tcBorders>
              <w:left w:val="single" w:color="auto" w:sz="4" w:space="0"/>
              <w:right w:val="single" w:color="auto" w:sz="8" w:space="0"/>
            </w:tcBorders>
          </w:tcPr>
          <w:p w14:paraId="0A9EE171">
            <w:pPr>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1.构成本招标文件的各个组成文件应互为解释，互为说明；</w:t>
            </w:r>
          </w:p>
          <w:p w14:paraId="34BE07CC">
            <w:pPr>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2.招标文件约定中如有不明确或不一致的，构成合同组成内容的，以合同文件约定内容为准；</w:t>
            </w:r>
          </w:p>
          <w:p w14:paraId="4E77F173">
            <w:pPr>
              <w:spacing w:line="360" w:lineRule="exact"/>
              <w:textAlignment w:val="auto"/>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3.除招标文件中有特别规定外，仅适用于招标投标阶段的规定，同一组成文件中就同一事项的规定或约定不一致的，按评标办法、招标公告、投标人须知、投标文件格式的优先顺序解释；</w:t>
            </w:r>
          </w:p>
          <w:p w14:paraId="431C70E7">
            <w:pPr>
              <w:spacing w:line="360" w:lineRule="exact"/>
              <w:textAlignment w:val="auto"/>
              <w:rPr>
                <w:rFonts w:ascii="仿宋" w:hAnsi="仿宋" w:eastAsia="仿宋" w:cs="仿宋"/>
                <w:b/>
                <w:bCs/>
                <w:color w:val="auto"/>
                <w:kern w:val="2"/>
                <w:sz w:val="21"/>
                <w:szCs w:val="21"/>
                <w:highlight w:val="none"/>
              </w:rPr>
            </w:pPr>
            <w:r>
              <w:rPr>
                <w:rFonts w:hint="eastAsia" w:ascii="仿宋" w:hAnsi="仿宋" w:eastAsia="仿宋" w:cs="仿宋"/>
                <w:bCs/>
                <w:color w:val="auto"/>
                <w:sz w:val="21"/>
                <w:szCs w:val="21"/>
                <w:highlight w:val="none"/>
              </w:rPr>
              <w:t>4.按上述规定仍不能形成结论的，由招标人或其委托的招标代理机构负责解释。</w:t>
            </w:r>
          </w:p>
        </w:tc>
      </w:tr>
    </w:tbl>
    <w:p w14:paraId="127F5A88">
      <w:pPr>
        <w:spacing w:line="360" w:lineRule="auto"/>
        <w:rPr>
          <w:rFonts w:ascii="仿宋" w:hAnsi="仿宋" w:eastAsia="仿宋" w:cs="仿宋"/>
          <w:color w:val="auto"/>
          <w:sz w:val="24"/>
          <w:szCs w:val="24"/>
          <w:highlight w:val="none"/>
        </w:rPr>
        <w:sectPr>
          <w:headerReference r:id="rId6" w:type="first"/>
          <w:footerReference r:id="rId8" w:type="first"/>
          <w:headerReference r:id="rId5" w:type="default"/>
          <w:footerReference r:id="rId7" w:type="default"/>
          <w:pgSz w:w="11906" w:h="16838"/>
          <w:pgMar w:top="1418" w:right="1077" w:bottom="1418" w:left="1077" w:header="851" w:footer="992" w:gutter="0"/>
          <w:pgNumType w:fmt="decimal"/>
          <w:cols w:space="720" w:num="1"/>
          <w:titlePg/>
          <w:docGrid w:type="lines" w:linePitch="312" w:charSpace="0"/>
        </w:sectPr>
      </w:pPr>
    </w:p>
    <w:p w14:paraId="234304D5">
      <w:pPr>
        <w:spacing w:line="360" w:lineRule="auto"/>
        <w:jc w:val="center"/>
        <w:textAlignment w:val="auto"/>
        <w:rPr>
          <w:rFonts w:ascii="仿宋" w:hAnsi="仿宋" w:eastAsia="仿宋" w:cs="仿宋"/>
          <w:b/>
          <w:color w:val="auto"/>
          <w:kern w:val="2"/>
          <w:sz w:val="24"/>
          <w:szCs w:val="24"/>
          <w:highlight w:val="none"/>
        </w:rPr>
      </w:pPr>
      <w:bookmarkStart w:id="9" w:name="_Toc219773103"/>
      <w:r>
        <w:rPr>
          <w:rFonts w:hint="eastAsia" w:ascii="仿宋" w:hAnsi="仿宋" w:eastAsia="仿宋" w:cs="仿宋"/>
          <w:b/>
          <w:color w:val="auto"/>
          <w:kern w:val="2"/>
          <w:sz w:val="24"/>
          <w:szCs w:val="24"/>
          <w:highlight w:val="none"/>
        </w:rPr>
        <w:t>二、投标须知</w:t>
      </w:r>
      <w:bookmarkEnd w:id="9"/>
    </w:p>
    <w:p w14:paraId="78D0F888">
      <w:pPr>
        <w:spacing w:line="360" w:lineRule="auto"/>
        <w:jc w:val="center"/>
        <w:textAlignment w:val="auto"/>
        <w:rPr>
          <w:rFonts w:ascii="仿宋" w:hAnsi="仿宋" w:eastAsia="仿宋" w:cs="仿宋"/>
          <w:b/>
          <w:color w:val="auto"/>
          <w:kern w:val="2"/>
          <w:sz w:val="24"/>
          <w:szCs w:val="24"/>
          <w:highlight w:val="none"/>
        </w:rPr>
      </w:pPr>
      <w:bookmarkStart w:id="10" w:name="_Toc219773104"/>
      <w:r>
        <w:rPr>
          <w:rFonts w:hint="eastAsia" w:ascii="仿宋" w:hAnsi="仿宋" w:eastAsia="仿宋" w:cs="仿宋"/>
          <w:b/>
          <w:color w:val="auto"/>
          <w:kern w:val="2"/>
          <w:sz w:val="24"/>
          <w:szCs w:val="24"/>
          <w:highlight w:val="none"/>
        </w:rPr>
        <w:t>（一）总  则</w:t>
      </w:r>
      <w:bookmarkEnd w:id="10"/>
    </w:p>
    <w:p w14:paraId="387E8EE7">
      <w:pPr>
        <w:adjustRightInd/>
        <w:spacing w:line="360" w:lineRule="auto"/>
        <w:ind w:firstLine="482" w:firstLineChars="200"/>
        <w:textAlignment w:val="auto"/>
        <w:rPr>
          <w:rFonts w:ascii="仿宋" w:hAnsi="仿宋" w:eastAsia="仿宋" w:cs="仿宋"/>
          <w:b/>
          <w:color w:val="auto"/>
          <w:kern w:val="2"/>
          <w:sz w:val="24"/>
          <w:szCs w:val="24"/>
          <w:highlight w:val="none"/>
        </w:rPr>
      </w:pPr>
      <w:bookmarkStart w:id="11" w:name="_Toc219773105"/>
      <w:r>
        <w:rPr>
          <w:rFonts w:hint="eastAsia" w:ascii="仿宋" w:hAnsi="仿宋" w:eastAsia="仿宋" w:cs="仿宋"/>
          <w:b/>
          <w:color w:val="auto"/>
          <w:kern w:val="2"/>
          <w:sz w:val="24"/>
          <w:szCs w:val="24"/>
          <w:highlight w:val="none"/>
          <w:lang w:eastAsia="zh-CN"/>
        </w:rPr>
        <w:t>1.</w:t>
      </w:r>
      <w:r>
        <w:rPr>
          <w:rFonts w:hint="eastAsia" w:ascii="仿宋" w:hAnsi="仿宋" w:eastAsia="仿宋" w:cs="仿宋"/>
          <w:b/>
          <w:color w:val="auto"/>
          <w:kern w:val="2"/>
          <w:sz w:val="24"/>
          <w:szCs w:val="24"/>
          <w:highlight w:val="none"/>
        </w:rPr>
        <w:t>工程说明</w:t>
      </w:r>
      <w:bookmarkEnd w:id="11"/>
    </w:p>
    <w:p w14:paraId="57E594E6">
      <w:pPr>
        <w:pStyle w:val="11"/>
        <w:adjustRightInd/>
        <w:spacing w:line="360" w:lineRule="auto"/>
        <w:ind w:firstLine="480" w:firstLineChars="200"/>
        <w:rPr>
          <w:rFonts w:ascii="仿宋" w:hAnsi="仿宋" w:eastAsia="仿宋" w:cs="仿宋"/>
          <w:color w:val="auto"/>
          <w:sz w:val="24"/>
          <w:szCs w:val="24"/>
          <w:highlight w:val="none"/>
        </w:rPr>
      </w:pPr>
      <w:bookmarkStart w:id="12" w:name="_Toc219773106"/>
      <w:r>
        <w:rPr>
          <w:rFonts w:hint="eastAsia" w:ascii="仿宋" w:hAnsi="仿宋" w:eastAsia="仿宋" w:cs="仿宋"/>
          <w:color w:val="auto"/>
          <w:sz w:val="24"/>
          <w:szCs w:val="24"/>
          <w:highlight w:val="none"/>
        </w:rPr>
        <w:t>1.1本招标工程项目说明详见本须知前附表；</w:t>
      </w:r>
    </w:p>
    <w:p w14:paraId="6C713D42">
      <w:pPr>
        <w:pStyle w:val="11"/>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1.2本招标工程项目按照《中华人民共和国招标投标法》《</w:t>
      </w:r>
      <w:r>
        <w:rPr>
          <w:rFonts w:hint="eastAsia" w:ascii="仿宋" w:hAnsi="仿宋" w:eastAsia="仿宋" w:cs="仿宋"/>
          <w:color w:val="auto"/>
          <w:sz w:val="24"/>
          <w:szCs w:val="24"/>
          <w:highlight w:val="none"/>
          <w:lang w:eastAsia="zh-CN"/>
        </w:rPr>
        <w:t>中华人民共和国招标投标法实施条例</w:t>
      </w:r>
      <w:r>
        <w:rPr>
          <w:rFonts w:hint="eastAsia" w:ascii="仿宋" w:hAnsi="仿宋" w:eastAsia="仿宋" w:cs="仿宋"/>
          <w:color w:val="auto"/>
          <w:sz w:val="24"/>
          <w:szCs w:val="24"/>
          <w:highlight w:val="none"/>
        </w:rPr>
        <w:t xml:space="preserve">》等有关法律、法规和规章要求，通过公开招标方式选定设计单位。 </w:t>
      </w:r>
    </w:p>
    <w:p w14:paraId="1E99B5FB">
      <w:pPr>
        <w:adjustRightInd/>
        <w:spacing w:line="360" w:lineRule="auto"/>
        <w:ind w:firstLine="482" w:firstLineChars="200"/>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eastAsia="zh-CN"/>
        </w:rPr>
        <w:t>2.</w:t>
      </w:r>
      <w:r>
        <w:rPr>
          <w:rFonts w:hint="eastAsia" w:ascii="仿宋" w:hAnsi="仿宋" w:eastAsia="仿宋" w:cs="仿宋"/>
          <w:b/>
          <w:color w:val="auto"/>
          <w:kern w:val="2"/>
          <w:sz w:val="24"/>
          <w:szCs w:val="24"/>
          <w:highlight w:val="none"/>
        </w:rPr>
        <w:t>资格审查方式</w:t>
      </w:r>
      <w:bookmarkEnd w:id="12"/>
    </w:p>
    <w:p w14:paraId="4CB990F6">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2.1本招标项目招标人对投标人的资格审查采用的方式见投标须知前附表第10项。</w:t>
      </w:r>
    </w:p>
    <w:p w14:paraId="1594CA8E">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2.2资格审查按照招标文件第三章“评标办法和标准”的规定进行评审。</w:t>
      </w:r>
    </w:p>
    <w:p w14:paraId="6230D5DC">
      <w:pPr>
        <w:adjustRightInd/>
        <w:spacing w:line="360" w:lineRule="auto"/>
        <w:ind w:firstLine="482" w:firstLineChars="200"/>
        <w:textAlignment w:val="auto"/>
        <w:rPr>
          <w:rFonts w:ascii="仿宋" w:hAnsi="仿宋" w:eastAsia="仿宋" w:cs="仿宋"/>
          <w:b/>
          <w:color w:val="auto"/>
          <w:kern w:val="2"/>
          <w:sz w:val="24"/>
          <w:szCs w:val="24"/>
          <w:highlight w:val="none"/>
        </w:rPr>
      </w:pPr>
      <w:bookmarkStart w:id="13" w:name="_Toc219773107"/>
      <w:r>
        <w:rPr>
          <w:rFonts w:hint="eastAsia" w:ascii="仿宋" w:hAnsi="仿宋" w:eastAsia="仿宋" w:cs="仿宋"/>
          <w:b/>
          <w:color w:val="auto"/>
          <w:kern w:val="2"/>
          <w:sz w:val="24"/>
          <w:szCs w:val="24"/>
          <w:highlight w:val="none"/>
          <w:lang w:eastAsia="zh-CN"/>
        </w:rPr>
        <w:t>3.</w:t>
      </w:r>
      <w:r>
        <w:rPr>
          <w:rFonts w:hint="eastAsia" w:ascii="仿宋" w:hAnsi="仿宋" w:eastAsia="仿宋" w:cs="仿宋"/>
          <w:b/>
          <w:color w:val="auto"/>
          <w:kern w:val="2"/>
          <w:sz w:val="24"/>
          <w:szCs w:val="24"/>
          <w:highlight w:val="none"/>
        </w:rPr>
        <w:t>投标人的资格要求</w:t>
      </w:r>
      <w:bookmarkEnd w:id="13"/>
    </w:p>
    <w:p w14:paraId="3D008A75">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3.1投标人资格要求详见本工程招标公告；</w:t>
      </w:r>
    </w:p>
    <w:p w14:paraId="016A5653">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3.2中标人不得将设计任务转包或分包给其它单位，否则招标人有权终止设计合同。</w:t>
      </w:r>
    </w:p>
    <w:p w14:paraId="69990972">
      <w:pPr>
        <w:adjustRightInd/>
        <w:spacing w:line="360" w:lineRule="auto"/>
        <w:ind w:firstLine="482" w:firstLineChars="200"/>
        <w:textAlignment w:val="auto"/>
        <w:rPr>
          <w:rFonts w:ascii="仿宋" w:hAnsi="仿宋" w:eastAsia="仿宋" w:cs="仿宋"/>
          <w:b/>
          <w:color w:val="auto"/>
          <w:kern w:val="2"/>
          <w:sz w:val="24"/>
          <w:szCs w:val="24"/>
          <w:highlight w:val="none"/>
        </w:rPr>
      </w:pPr>
      <w:bookmarkStart w:id="14" w:name="_Toc219773108"/>
      <w:r>
        <w:rPr>
          <w:rFonts w:hint="eastAsia" w:ascii="仿宋" w:hAnsi="仿宋" w:eastAsia="仿宋" w:cs="仿宋"/>
          <w:b/>
          <w:color w:val="auto"/>
          <w:kern w:val="2"/>
          <w:sz w:val="24"/>
          <w:szCs w:val="24"/>
          <w:highlight w:val="none"/>
          <w:lang w:eastAsia="zh-CN"/>
        </w:rPr>
        <w:t>4.</w:t>
      </w:r>
      <w:r>
        <w:rPr>
          <w:rFonts w:hint="eastAsia" w:ascii="仿宋" w:hAnsi="仿宋" w:eastAsia="仿宋" w:cs="仿宋"/>
          <w:b/>
          <w:color w:val="auto"/>
          <w:kern w:val="2"/>
          <w:sz w:val="24"/>
          <w:szCs w:val="24"/>
          <w:highlight w:val="none"/>
        </w:rPr>
        <w:t>投标费用</w:t>
      </w:r>
      <w:bookmarkEnd w:id="14"/>
    </w:p>
    <w:p w14:paraId="43E8D030">
      <w:pPr>
        <w:pStyle w:val="11"/>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4.1投标人应承担己方投标文件编制与递交等参加本招标活动所涉及的一切费用。对未中标人是否给予经济补偿按投标须知第38条规定执行。</w:t>
      </w:r>
    </w:p>
    <w:p w14:paraId="46933B5D">
      <w:pPr>
        <w:pStyle w:val="11"/>
        <w:adjustRightInd/>
        <w:spacing w:line="360" w:lineRule="auto"/>
        <w:ind w:firstLine="482" w:firstLineChars="200"/>
        <w:rPr>
          <w:rFonts w:ascii="仿宋" w:hAnsi="仿宋" w:eastAsia="仿宋" w:cs="仿宋"/>
          <w:b/>
          <w:color w:val="auto"/>
          <w:sz w:val="24"/>
          <w:szCs w:val="24"/>
          <w:highlight w:val="none"/>
        </w:rPr>
      </w:pPr>
      <w:bookmarkStart w:id="15" w:name="_Toc219773109"/>
      <w:r>
        <w:rPr>
          <w:rFonts w:hint="eastAsia" w:ascii="仿宋" w:hAnsi="仿宋" w:eastAsia="仿宋" w:cs="仿宋"/>
          <w:b/>
          <w:color w:val="auto"/>
          <w:sz w:val="24"/>
          <w:szCs w:val="24"/>
          <w:highlight w:val="none"/>
          <w:lang w:eastAsia="zh-CN"/>
        </w:rPr>
        <w:t>5.</w:t>
      </w:r>
      <w:r>
        <w:rPr>
          <w:rFonts w:hint="eastAsia" w:ascii="仿宋" w:hAnsi="仿宋" w:eastAsia="仿宋" w:cs="仿宋"/>
          <w:b/>
          <w:color w:val="auto"/>
          <w:sz w:val="24"/>
          <w:szCs w:val="24"/>
          <w:highlight w:val="none"/>
        </w:rPr>
        <w:t>踏勘现场</w:t>
      </w:r>
      <w:bookmarkEnd w:id="15"/>
    </w:p>
    <w:p w14:paraId="3A217621">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5.1招标人不举行招标预备会（答疑会）和踏勘项目现场，投标申请人认为有必要的可自行踏勘现场，费用自理。招标人向投标人提供有关现场的资料和数据，是招标人现有的能使投标人利用的资料，但招标人对投标人由此而做出的推论、理解和结论概不负责。</w:t>
      </w:r>
    </w:p>
    <w:p w14:paraId="5FA3036D">
      <w:pPr>
        <w:adjustRightInd/>
        <w:spacing w:line="360" w:lineRule="auto"/>
        <w:ind w:firstLine="482" w:firstLineChars="200"/>
        <w:textAlignment w:val="auto"/>
        <w:rPr>
          <w:rFonts w:ascii="仿宋" w:hAnsi="仿宋" w:eastAsia="仿宋" w:cs="仿宋"/>
          <w:b/>
          <w:color w:val="auto"/>
          <w:kern w:val="2"/>
          <w:sz w:val="24"/>
          <w:szCs w:val="24"/>
          <w:highlight w:val="none"/>
        </w:rPr>
      </w:pPr>
      <w:bookmarkStart w:id="16" w:name="_Toc219773110"/>
      <w:r>
        <w:rPr>
          <w:rFonts w:hint="eastAsia" w:ascii="仿宋" w:hAnsi="仿宋" w:eastAsia="仿宋" w:cs="仿宋"/>
          <w:b/>
          <w:color w:val="auto"/>
          <w:kern w:val="2"/>
          <w:sz w:val="24"/>
          <w:szCs w:val="24"/>
          <w:highlight w:val="none"/>
          <w:lang w:eastAsia="zh-CN"/>
        </w:rPr>
        <w:t>6.</w:t>
      </w:r>
      <w:r>
        <w:rPr>
          <w:rFonts w:hint="eastAsia" w:ascii="仿宋" w:hAnsi="仿宋" w:eastAsia="仿宋" w:cs="仿宋"/>
          <w:b/>
          <w:color w:val="auto"/>
          <w:kern w:val="2"/>
          <w:sz w:val="24"/>
          <w:szCs w:val="24"/>
          <w:highlight w:val="none"/>
        </w:rPr>
        <w:t>知识产权</w:t>
      </w:r>
      <w:bookmarkEnd w:id="16"/>
    </w:p>
    <w:p w14:paraId="7024EA37">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6.1投标人应保证设计技术方案权利完整性，不会涉及第三方权益，如果涉及第三方权益，由投标人负责全部经济赔偿责任。</w:t>
      </w:r>
    </w:p>
    <w:p w14:paraId="388CC594">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6.2招标人应保护投标人的知识产权。投标人拥有勘察设计技术方案的著作权（版权），未经投标人书面同意，招标人不得将交付的勘察设计技术方案向第三方转让或用于本招标范围以外的其他建设项目。</w:t>
      </w:r>
    </w:p>
    <w:p w14:paraId="3E618AE7">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6.3招标人与中标人签署设计合同后，招标人在该建设项目中拥有中标方案的使用权。中标人应保证招标人在使用其设计技术方案过程中，如有第三方主张权利，中标人应承担由此而产生的一切责任。</w:t>
      </w:r>
    </w:p>
    <w:p w14:paraId="12161C5D">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6.4招标人有权部分采用未中标投标人的设计技术方案对中标设计技术方案进行优化，未中标的投标人应保证招标人采用其投标设计不会受到第三方主张权利，如有第三方主张权利，该投标人应与第三方交涉，承担可能发生的一切法律责任、后果和费用，并赔偿招标人的损失。</w:t>
      </w:r>
      <w:bookmarkStart w:id="17" w:name="_Toc219773111"/>
    </w:p>
    <w:p w14:paraId="65598574">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6.5投标人所投技术的知识产权归招标人所有，如存在侵权行为，由投标单位全权负责。投标人保证，招标人使用投标人设计将不会对任何第三方构成侵权。任何第三方向招标人提出的侵权之诉讼或索赔均由投标人承担处理、应诉和赔偿责任。</w:t>
      </w:r>
    </w:p>
    <w:p w14:paraId="559CB52B">
      <w:pPr>
        <w:pStyle w:val="11"/>
        <w:tabs>
          <w:tab w:val="left" w:pos="1000"/>
        </w:tabs>
        <w:adjustRightInd/>
        <w:spacing w:line="360" w:lineRule="auto"/>
        <w:ind w:firstLine="480" w:firstLineChars="200"/>
        <w:rPr>
          <w:rFonts w:ascii="仿宋" w:hAnsi="仿宋" w:eastAsia="仿宋" w:cs="仿宋"/>
          <w:color w:val="auto"/>
          <w:sz w:val="24"/>
          <w:szCs w:val="24"/>
          <w:highlight w:val="none"/>
        </w:rPr>
      </w:pPr>
    </w:p>
    <w:p w14:paraId="36766C01">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（二）招标文件</w:t>
      </w:r>
      <w:bookmarkEnd w:id="17"/>
    </w:p>
    <w:p w14:paraId="7618BF6C">
      <w:pPr>
        <w:pStyle w:val="11"/>
        <w:tabs>
          <w:tab w:val="left" w:pos="1000"/>
        </w:tabs>
        <w:adjustRightInd/>
        <w:spacing w:line="360" w:lineRule="auto"/>
        <w:ind w:firstLine="482" w:firstLineChars="200"/>
        <w:outlineLvl w:val="0"/>
        <w:rPr>
          <w:rFonts w:ascii="仿宋" w:hAnsi="仿宋" w:eastAsia="仿宋" w:cs="仿宋"/>
          <w:b/>
          <w:color w:val="auto"/>
          <w:sz w:val="24"/>
          <w:szCs w:val="24"/>
          <w:highlight w:val="none"/>
        </w:rPr>
      </w:pPr>
      <w:bookmarkStart w:id="18" w:name="_Toc219773112"/>
      <w:bookmarkStart w:id="19" w:name="_Toc27213"/>
      <w:r>
        <w:rPr>
          <w:rFonts w:hint="eastAsia" w:ascii="仿宋" w:hAnsi="仿宋" w:eastAsia="仿宋" w:cs="仿宋"/>
          <w:b/>
          <w:color w:val="auto"/>
          <w:sz w:val="24"/>
          <w:szCs w:val="24"/>
          <w:highlight w:val="none"/>
          <w:lang w:eastAsia="zh-CN"/>
        </w:rPr>
        <w:t>7.</w:t>
      </w:r>
      <w:r>
        <w:rPr>
          <w:rFonts w:hint="eastAsia" w:ascii="仿宋" w:hAnsi="仿宋" w:eastAsia="仿宋" w:cs="仿宋"/>
          <w:b/>
          <w:color w:val="auto"/>
          <w:sz w:val="24"/>
          <w:szCs w:val="24"/>
          <w:highlight w:val="none"/>
        </w:rPr>
        <w:t>招标文件的组成</w:t>
      </w:r>
      <w:bookmarkEnd w:id="18"/>
      <w:bookmarkEnd w:id="19"/>
    </w:p>
    <w:p w14:paraId="3151C726">
      <w:pPr>
        <w:pStyle w:val="11"/>
        <w:tabs>
          <w:tab w:val="left" w:pos="1000"/>
        </w:tabs>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7.1招标文件包括下列内容：</w:t>
      </w:r>
    </w:p>
    <w:p w14:paraId="61EF1A2D">
      <w:pPr>
        <w:pStyle w:val="11"/>
        <w:tabs>
          <w:tab w:val="left" w:pos="1000"/>
        </w:tabs>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7.1.1本招标文件的全部内容；</w:t>
      </w:r>
    </w:p>
    <w:p w14:paraId="66E989AB">
      <w:pPr>
        <w:pStyle w:val="11"/>
        <w:tabs>
          <w:tab w:val="left" w:pos="1000"/>
        </w:tabs>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7.1.2本工程所有发出的答疑文件及书面通知。</w:t>
      </w:r>
    </w:p>
    <w:p w14:paraId="411CDF9D">
      <w:pPr>
        <w:pStyle w:val="11"/>
        <w:tabs>
          <w:tab w:val="left" w:pos="1000"/>
        </w:tabs>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7.2投标人获取招标文件后，应仔细检查招标文件的所有内容，如有残缺等问题应及时向招标人提出，否则，由此引起的后果由投标人自己承担。</w:t>
      </w:r>
      <w:r>
        <w:rPr>
          <w:rFonts w:hint="eastAsia" w:ascii="仿宋" w:hAnsi="仿宋" w:eastAsia="仿宋" w:cs="仿宋"/>
          <w:b/>
          <w:color w:val="auto"/>
          <w:sz w:val="24"/>
          <w:szCs w:val="24"/>
          <w:highlight w:val="none"/>
        </w:rPr>
        <w:t>投标人同时应认真审阅招标文件中所有的事项、格式、条款和规范要求等，若投标人的投标文件没有按招标文件要求提交全部资料及自己理解产生的误差，或投标文件没有对招标文件做出实质性响应，其风险由投标人自行承担，并根据有关条款规定，该投标有可能被拒绝。</w:t>
      </w:r>
    </w:p>
    <w:p w14:paraId="61EB4F62">
      <w:pPr>
        <w:pStyle w:val="11"/>
        <w:tabs>
          <w:tab w:val="left" w:pos="1000"/>
        </w:tabs>
        <w:adjustRightInd/>
        <w:spacing w:line="360" w:lineRule="auto"/>
        <w:ind w:firstLine="482" w:firstLineChars="200"/>
        <w:outlineLvl w:val="0"/>
        <w:rPr>
          <w:rFonts w:ascii="仿宋" w:hAnsi="仿宋" w:eastAsia="仿宋" w:cs="仿宋"/>
          <w:b/>
          <w:color w:val="auto"/>
          <w:sz w:val="24"/>
          <w:szCs w:val="24"/>
          <w:highlight w:val="none"/>
        </w:rPr>
      </w:pPr>
      <w:bookmarkStart w:id="20" w:name="_Toc19699"/>
      <w:bookmarkStart w:id="21" w:name="_Toc219773113"/>
      <w:r>
        <w:rPr>
          <w:rFonts w:hint="eastAsia" w:ascii="仿宋" w:hAnsi="仿宋" w:eastAsia="仿宋" w:cs="仿宋"/>
          <w:b/>
          <w:color w:val="auto"/>
          <w:sz w:val="24"/>
          <w:szCs w:val="24"/>
          <w:highlight w:val="none"/>
          <w:lang w:eastAsia="zh-CN"/>
        </w:rPr>
        <w:t>8.</w:t>
      </w:r>
      <w:r>
        <w:rPr>
          <w:rFonts w:hint="eastAsia" w:ascii="仿宋" w:hAnsi="仿宋" w:eastAsia="仿宋" w:cs="仿宋"/>
          <w:b/>
          <w:color w:val="auto"/>
          <w:sz w:val="24"/>
          <w:szCs w:val="24"/>
          <w:highlight w:val="none"/>
        </w:rPr>
        <w:t>招标文件的澄清</w:t>
      </w:r>
      <w:bookmarkEnd w:id="20"/>
      <w:bookmarkEnd w:id="21"/>
    </w:p>
    <w:p w14:paraId="762D03DE">
      <w:pPr>
        <w:pStyle w:val="11"/>
        <w:tabs>
          <w:tab w:val="left" w:pos="1000"/>
        </w:tabs>
        <w:spacing w:line="360" w:lineRule="auto"/>
        <w:ind w:firstLine="480" w:firstLineChars="200"/>
        <w:outlineLvl w:val="0"/>
        <w:rPr>
          <w:rFonts w:ascii="仿宋" w:hAnsi="仿宋" w:eastAsia="仿宋" w:cs="仿宋"/>
          <w:color w:val="auto"/>
          <w:sz w:val="24"/>
          <w:szCs w:val="24"/>
          <w:highlight w:val="none"/>
        </w:rPr>
      </w:pPr>
      <w:bookmarkStart w:id="22" w:name="_Toc29820"/>
      <w:bookmarkStart w:id="23" w:name="_Toc219773114"/>
      <w:r>
        <w:rPr>
          <w:rFonts w:hint="eastAsia" w:ascii="仿宋" w:hAnsi="仿宋" w:eastAsia="仿宋" w:cs="仿宋"/>
          <w:color w:val="auto"/>
          <w:sz w:val="24"/>
          <w:szCs w:val="24"/>
          <w:highlight w:val="none"/>
        </w:rPr>
        <w:t>投标人若对招标文件有任何疑问，应在投标截止时间前三日向招标人提出澄清要求。招标文件的澄清将在招标公告发布的同一网站公布，但不指明澄清问题的来源。所有潜在投标人均有义务自行查看该澄清内容。</w:t>
      </w:r>
    </w:p>
    <w:p w14:paraId="5ED4742C">
      <w:pPr>
        <w:pStyle w:val="11"/>
        <w:tabs>
          <w:tab w:val="left" w:pos="1000"/>
        </w:tabs>
        <w:adjustRightInd/>
        <w:spacing w:line="360" w:lineRule="auto"/>
        <w:ind w:firstLine="482" w:firstLineChars="200"/>
        <w:outlineLvl w:val="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9.</w:t>
      </w:r>
      <w:r>
        <w:rPr>
          <w:rFonts w:hint="eastAsia" w:ascii="仿宋" w:hAnsi="仿宋" w:eastAsia="仿宋" w:cs="仿宋"/>
          <w:b/>
          <w:color w:val="auto"/>
          <w:sz w:val="24"/>
          <w:szCs w:val="24"/>
          <w:highlight w:val="none"/>
        </w:rPr>
        <w:t>招标文件的修改</w:t>
      </w:r>
      <w:bookmarkEnd w:id="22"/>
      <w:bookmarkEnd w:id="23"/>
    </w:p>
    <w:p w14:paraId="49B92630">
      <w:pPr>
        <w:pStyle w:val="11"/>
        <w:tabs>
          <w:tab w:val="left" w:pos="1000"/>
        </w:tabs>
        <w:adjustRightInd/>
        <w:spacing w:line="360" w:lineRule="auto"/>
        <w:ind w:firstLine="480" w:firstLineChars="200"/>
        <w:outlineLvl w:val="0"/>
        <w:rPr>
          <w:rFonts w:ascii="仿宋" w:hAnsi="仿宋" w:eastAsia="仿宋" w:cs="仿宋"/>
          <w:color w:val="auto"/>
          <w:sz w:val="24"/>
          <w:szCs w:val="24"/>
          <w:highlight w:val="none"/>
        </w:rPr>
      </w:pPr>
      <w:bookmarkStart w:id="24" w:name="_Toc219773115"/>
      <w:r>
        <w:rPr>
          <w:rFonts w:hint="eastAsia" w:ascii="仿宋" w:hAnsi="仿宋" w:eastAsia="仿宋" w:cs="仿宋"/>
          <w:color w:val="auto"/>
          <w:sz w:val="24"/>
          <w:szCs w:val="24"/>
          <w:highlight w:val="none"/>
        </w:rPr>
        <w:t>9.1 招标文件发出后，招标人可对招标文件进行必要的修改。</w:t>
      </w:r>
    </w:p>
    <w:p w14:paraId="19480A1E">
      <w:pPr>
        <w:pStyle w:val="11"/>
        <w:tabs>
          <w:tab w:val="left" w:pos="1000"/>
        </w:tabs>
        <w:adjustRightInd/>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9.2 招标文件的修改将在招标公告发布的同一网站发布，该修改内容作为招标文件的组成部分，具有约束作用。</w:t>
      </w:r>
    </w:p>
    <w:p w14:paraId="4CE3A124">
      <w:pPr>
        <w:pStyle w:val="11"/>
        <w:tabs>
          <w:tab w:val="left" w:pos="1000"/>
        </w:tabs>
        <w:adjustRightInd/>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9.3当招标文件、招标文件的澄清、修改、补充等在同一内容的表述上不一致时，以最后发出的修改文件为准。</w:t>
      </w:r>
    </w:p>
    <w:p w14:paraId="623A0D40">
      <w:pPr>
        <w:pStyle w:val="11"/>
        <w:tabs>
          <w:tab w:val="left" w:pos="1000"/>
        </w:tabs>
        <w:adjustRightInd/>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9.4为使投标人在编制投标文件时有充分的时间对招标文件的澄清、修改、补充等内容进行研究，如果澄清的内容影响投标文件编制的，且发出时间距投标截止时间不足5天的，招标人将依法酌情延长投标截止时间，具体时间将在招标文件的修改、补充通知中予以明确。</w:t>
      </w:r>
    </w:p>
    <w:p w14:paraId="4CE360F1">
      <w:pPr>
        <w:pStyle w:val="11"/>
        <w:tabs>
          <w:tab w:val="left" w:pos="1000"/>
        </w:tabs>
        <w:adjustRightInd/>
        <w:spacing w:line="360" w:lineRule="auto"/>
        <w:ind w:firstLine="480" w:firstLineChars="200"/>
        <w:outlineLvl w:val="0"/>
        <w:rPr>
          <w:rFonts w:ascii="仿宋" w:hAnsi="仿宋" w:eastAsia="仿宋" w:cs="仿宋"/>
          <w:color w:val="auto"/>
          <w:sz w:val="24"/>
          <w:szCs w:val="24"/>
          <w:highlight w:val="none"/>
        </w:rPr>
      </w:pPr>
      <w:r>
        <w:rPr>
          <w:rFonts w:hint="eastAsia" w:ascii="仿宋" w:hAnsi="仿宋" w:eastAsia="仿宋" w:cs="仿宋"/>
          <w:bCs/>
          <w:color w:val="auto"/>
          <w:sz w:val="24"/>
          <w:szCs w:val="24"/>
          <w:highlight w:val="none"/>
        </w:rPr>
        <w:t>9.5如果投标人在答疑时间截止前未对招标文件有关条款提出质疑，视为充分理解招标文件所有内容，一旦递交投标文件，则认为该投标人接受招标文件所有条款，不再接受对招标文件的异议或投诉。</w:t>
      </w:r>
    </w:p>
    <w:p w14:paraId="6C74CDB3">
      <w:pPr>
        <w:snapToGrid w:val="0"/>
        <w:spacing w:beforeLines="20" w:afterLines="20" w:line="360" w:lineRule="auto"/>
        <w:ind w:firstLine="532"/>
        <w:rPr>
          <w:rFonts w:ascii="仿宋" w:hAnsi="仿宋" w:eastAsia="仿宋" w:cs="仿宋"/>
          <w:b/>
          <w:bCs/>
          <w:color w:val="auto"/>
          <w:sz w:val="24"/>
          <w:szCs w:val="24"/>
          <w:highlight w:val="none"/>
        </w:rPr>
      </w:pPr>
    </w:p>
    <w:p w14:paraId="567E13F1">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（四）投标文件的编制</w:t>
      </w:r>
      <w:bookmarkEnd w:id="24"/>
    </w:p>
    <w:p w14:paraId="4B76D568">
      <w:pPr>
        <w:pStyle w:val="11"/>
        <w:tabs>
          <w:tab w:val="left" w:pos="1000"/>
        </w:tabs>
        <w:adjustRightInd/>
        <w:spacing w:line="360" w:lineRule="auto"/>
        <w:ind w:firstLine="482" w:firstLineChars="200"/>
        <w:outlineLvl w:val="0"/>
        <w:rPr>
          <w:rFonts w:ascii="仿宋" w:hAnsi="仿宋" w:eastAsia="仿宋" w:cs="仿宋"/>
          <w:b/>
          <w:color w:val="auto"/>
          <w:sz w:val="24"/>
          <w:szCs w:val="24"/>
          <w:highlight w:val="none"/>
        </w:rPr>
      </w:pPr>
      <w:bookmarkStart w:id="25" w:name="_Toc219773116"/>
      <w:bookmarkStart w:id="26" w:name="_Toc31264"/>
      <w:bookmarkStart w:id="27" w:name="_Toc219773124"/>
      <w:r>
        <w:rPr>
          <w:rFonts w:hint="eastAsia" w:ascii="仿宋" w:hAnsi="仿宋" w:eastAsia="仿宋" w:cs="仿宋"/>
          <w:b/>
          <w:color w:val="auto"/>
          <w:sz w:val="24"/>
          <w:szCs w:val="24"/>
          <w:highlight w:val="none"/>
          <w:lang w:eastAsia="zh-CN"/>
        </w:rPr>
        <w:t>10.</w:t>
      </w:r>
      <w:r>
        <w:rPr>
          <w:rFonts w:hint="eastAsia" w:ascii="仿宋" w:hAnsi="仿宋" w:eastAsia="仿宋" w:cs="仿宋"/>
          <w:b/>
          <w:color w:val="auto"/>
          <w:sz w:val="24"/>
          <w:szCs w:val="24"/>
          <w:highlight w:val="none"/>
        </w:rPr>
        <w:t>投标文件的语言及度量衡单位</w:t>
      </w:r>
      <w:bookmarkEnd w:id="25"/>
      <w:bookmarkEnd w:id="26"/>
    </w:p>
    <w:p w14:paraId="34B3B9E4">
      <w:pPr>
        <w:adjustRightInd/>
        <w:spacing w:line="360" w:lineRule="auto"/>
        <w:ind w:firstLine="480" w:firstLineChars="200"/>
        <w:rPr>
          <w:rFonts w:ascii="仿宋" w:hAnsi="仿宋" w:eastAsia="仿宋" w:cs="仿宋"/>
          <w:color w:val="auto"/>
          <w:sz w:val="24"/>
          <w:szCs w:val="24"/>
          <w:highlight w:val="none"/>
        </w:rPr>
      </w:pPr>
      <w:bookmarkStart w:id="28" w:name="_Toc219773117"/>
      <w:r>
        <w:rPr>
          <w:rFonts w:hint="eastAsia" w:ascii="仿宋" w:hAnsi="仿宋" w:eastAsia="仿宋" w:cs="仿宋"/>
          <w:color w:val="auto"/>
          <w:sz w:val="24"/>
          <w:szCs w:val="24"/>
          <w:highlight w:val="none"/>
        </w:rPr>
        <w:t>10.1</w:t>
      </w:r>
      <w:r>
        <w:rPr>
          <w:rFonts w:hint="eastAsia" w:ascii="仿宋" w:hAnsi="仿宋" w:eastAsia="仿宋" w:cs="仿宋"/>
          <w:color w:val="auto"/>
          <w:sz w:val="24"/>
          <w:highlight w:val="none"/>
        </w:rPr>
        <w:t>投标文件和与投标有关的所有文件均应使用</w:t>
      </w:r>
      <w:r>
        <w:rPr>
          <w:rFonts w:hint="eastAsia" w:ascii="仿宋" w:hAnsi="仿宋" w:eastAsia="仿宋" w:cs="仿宋"/>
          <w:color w:val="auto"/>
          <w:sz w:val="24"/>
          <w:highlight w:val="none"/>
          <w:u w:val="single"/>
        </w:rPr>
        <w:t xml:space="preserve"> 中文 </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语言文字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。投标人随投标文件提供的证明文件和印刷品可以是其它语言，但应当附</w:t>
      </w:r>
      <w:r>
        <w:rPr>
          <w:rFonts w:hint="eastAsia" w:ascii="仿宋" w:hAnsi="仿宋" w:eastAsia="仿宋" w:cs="仿宋"/>
          <w:bCs/>
          <w:color w:val="auto"/>
          <w:sz w:val="24"/>
          <w:highlight w:val="none"/>
          <w:lang w:val="zh-CN"/>
        </w:rPr>
        <w:t>有经权威翻译机构核准的</w:t>
      </w:r>
      <w:r>
        <w:rPr>
          <w:rFonts w:hint="eastAsia" w:ascii="仿宋" w:hAnsi="仿宋" w:eastAsia="仿宋" w:cs="仿宋"/>
          <w:color w:val="auto"/>
          <w:sz w:val="24"/>
          <w:highlight w:val="none"/>
        </w:rPr>
        <w:t>中文译文或得到评标委员会的认可。</w:t>
      </w:r>
    </w:p>
    <w:p w14:paraId="7A6D41E1">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10.2除工程规范另有规定外，投标文件使用的度量衡单位，均采用中华人民共和国法定计量单位。</w:t>
      </w:r>
    </w:p>
    <w:p w14:paraId="5A7FF33A">
      <w:pPr>
        <w:pStyle w:val="11"/>
        <w:tabs>
          <w:tab w:val="left" w:pos="1000"/>
        </w:tabs>
        <w:adjustRightInd/>
        <w:spacing w:line="360" w:lineRule="auto"/>
        <w:ind w:firstLine="482" w:firstLineChars="200"/>
        <w:outlineLvl w:val="0"/>
        <w:rPr>
          <w:rFonts w:ascii="仿宋" w:hAnsi="仿宋" w:eastAsia="仿宋" w:cs="仿宋"/>
          <w:b/>
          <w:color w:val="auto"/>
          <w:sz w:val="24"/>
          <w:szCs w:val="24"/>
          <w:highlight w:val="none"/>
        </w:rPr>
      </w:pPr>
      <w:bookmarkStart w:id="29" w:name="_Toc29799"/>
      <w:r>
        <w:rPr>
          <w:rFonts w:hint="eastAsia" w:ascii="仿宋" w:hAnsi="仿宋" w:eastAsia="仿宋" w:cs="仿宋"/>
          <w:b/>
          <w:color w:val="auto"/>
          <w:sz w:val="24"/>
          <w:szCs w:val="24"/>
          <w:highlight w:val="none"/>
          <w:lang w:eastAsia="zh-CN"/>
        </w:rPr>
        <w:t>11.</w:t>
      </w:r>
      <w:r>
        <w:rPr>
          <w:rFonts w:hint="eastAsia" w:ascii="仿宋" w:hAnsi="仿宋" w:eastAsia="仿宋" w:cs="仿宋"/>
          <w:b/>
          <w:color w:val="auto"/>
          <w:sz w:val="24"/>
          <w:szCs w:val="24"/>
          <w:highlight w:val="none"/>
        </w:rPr>
        <w:t>投标文件的组成</w:t>
      </w:r>
      <w:bookmarkEnd w:id="28"/>
      <w:bookmarkEnd w:id="29"/>
    </w:p>
    <w:p w14:paraId="2D4BE29F">
      <w:pPr>
        <w:pStyle w:val="128"/>
        <w:spacing w:line="360" w:lineRule="auto"/>
        <w:ind w:firstLine="480" w:firstLineChars="200"/>
        <w:rPr>
          <w:rFonts w:ascii="仿宋" w:hAnsi="仿宋" w:eastAsia="仿宋" w:cs="仿宋"/>
          <w:color w:val="auto"/>
          <w:sz w:val="24"/>
          <w:szCs w:val="24"/>
          <w:highlight w:val="none"/>
        </w:rPr>
      </w:pPr>
      <w:bookmarkStart w:id="30" w:name="_Toc219773119"/>
      <w:r>
        <w:rPr>
          <w:rFonts w:hint="eastAsia" w:ascii="仿宋" w:hAnsi="仿宋" w:eastAsia="仿宋" w:cs="仿宋"/>
          <w:color w:val="auto"/>
          <w:sz w:val="24"/>
          <w:szCs w:val="24"/>
          <w:highlight w:val="none"/>
        </w:rPr>
        <w:t>11.1投标文件由资信标、技术标、商务标</w:t>
      </w:r>
      <w:r>
        <w:rPr>
          <w:rFonts w:hint="eastAsia" w:ascii="仿宋" w:hAnsi="仿宋" w:eastAsia="仿宋" w:cs="仿宋"/>
          <w:color w:val="auto"/>
          <w:sz w:val="24"/>
          <w:szCs w:val="24"/>
          <w:highlight w:val="none"/>
          <w:lang w:eastAsia="zh-CN"/>
        </w:rPr>
        <w:t>、电子U盘</w:t>
      </w:r>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部分组成。</w:t>
      </w:r>
    </w:p>
    <w:p w14:paraId="59A2B888">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11.2</w:t>
      </w:r>
      <w:r>
        <w:rPr>
          <w:rFonts w:hint="eastAsia" w:ascii="仿宋" w:hAnsi="仿宋" w:eastAsia="仿宋" w:cs="仿宋"/>
          <w:b/>
          <w:color w:val="auto"/>
          <w:sz w:val="24"/>
          <w:szCs w:val="24"/>
          <w:highlight w:val="none"/>
        </w:rPr>
        <w:t>资信标</w:t>
      </w:r>
      <w:r>
        <w:rPr>
          <w:rFonts w:hint="eastAsia" w:ascii="仿宋" w:hAnsi="仿宋" w:eastAsia="仿宋" w:cs="仿宋"/>
          <w:color w:val="auto"/>
          <w:sz w:val="24"/>
          <w:szCs w:val="24"/>
          <w:highlight w:val="none"/>
        </w:rPr>
        <w:t>主要包括的内容见</w:t>
      </w:r>
      <w:r>
        <w:rPr>
          <w:rFonts w:hint="eastAsia" w:ascii="仿宋" w:hAnsi="仿宋" w:eastAsia="仿宋" w:cs="仿宋"/>
          <w:bCs/>
          <w:color w:val="auto"/>
          <w:sz w:val="24"/>
          <w:szCs w:val="24"/>
          <w:highlight w:val="none"/>
        </w:rPr>
        <w:t>评标办法中的资信标评审（资格审查）内容，格式详见招标文件第五章投标文件格式中的</w:t>
      </w:r>
      <w:r>
        <w:rPr>
          <w:rFonts w:hint="eastAsia" w:ascii="仿宋" w:hAnsi="仿宋" w:eastAsia="仿宋" w:cs="仿宋"/>
          <w:b/>
          <w:bCs/>
          <w:color w:val="auto"/>
          <w:sz w:val="24"/>
          <w:szCs w:val="24"/>
          <w:highlight w:val="none"/>
        </w:rPr>
        <w:t>“资信标”</w:t>
      </w:r>
      <w:r>
        <w:rPr>
          <w:rFonts w:hint="eastAsia" w:ascii="仿宋" w:hAnsi="仿宋" w:eastAsia="仿宋" w:cs="仿宋"/>
          <w:bCs/>
          <w:color w:val="auto"/>
          <w:sz w:val="24"/>
          <w:szCs w:val="24"/>
          <w:highlight w:val="none"/>
        </w:rPr>
        <w:t>。</w:t>
      </w:r>
    </w:p>
    <w:p w14:paraId="20F2A422">
      <w:pPr>
        <w:pStyle w:val="11"/>
        <w:tabs>
          <w:tab w:val="left" w:pos="1000"/>
        </w:tabs>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11.3</w:t>
      </w:r>
      <w:r>
        <w:rPr>
          <w:rFonts w:hint="eastAsia" w:ascii="仿宋" w:hAnsi="仿宋" w:eastAsia="仿宋" w:cs="仿宋"/>
          <w:b/>
          <w:color w:val="auto"/>
          <w:sz w:val="24"/>
          <w:szCs w:val="24"/>
          <w:highlight w:val="none"/>
        </w:rPr>
        <w:t>技术标部分</w:t>
      </w:r>
      <w:r>
        <w:rPr>
          <w:rFonts w:hint="eastAsia" w:ascii="仿宋" w:hAnsi="仿宋" w:eastAsia="仿宋" w:cs="仿宋"/>
          <w:color w:val="auto"/>
          <w:sz w:val="24"/>
          <w:szCs w:val="24"/>
          <w:highlight w:val="none"/>
        </w:rPr>
        <w:t>主要包括的内容详见评标办法中的技术标评审内容，格式详见招标文件第五章投标文件格式中的</w:t>
      </w:r>
      <w:r>
        <w:rPr>
          <w:rFonts w:hint="eastAsia" w:ascii="仿宋" w:hAnsi="仿宋" w:eastAsia="仿宋" w:cs="仿宋"/>
          <w:b/>
          <w:color w:val="auto"/>
          <w:sz w:val="24"/>
          <w:szCs w:val="24"/>
          <w:highlight w:val="none"/>
        </w:rPr>
        <w:t>“技术标”</w:t>
      </w:r>
      <w:r>
        <w:rPr>
          <w:rFonts w:hint="eastAsia" w:ascii="仿宋" w:hAnsi="仿宋" w:eastAsia="仿宋" w:cs="仿宋"/>
          <w:color w:val="auto"/>
          <w:sz w:val="24"/>
          <w:szCs w:val="24"/>
          <w:highlight w:val="none"/>
        </w:rPr>
        <w:t>。</w:t>
      </w:r>
    </w:p>
    <w:p w14:paraId="2A9809BB">
      <w:pPr>
        <w:pStyle w:val="2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11.4</w:t>
      </w:r>
      <w:r>
        <w:rPr>
          <w:rFonts w:hint="eastAsia" w:ascii="仿宋" w:hAnsi="仿宋" w:eastAsia="仿宋" w:cs="仿宋"/>
          <w:b/>
          <w:color w:val="auto"/>
          <w:sz w:val="24"/>
          <w:szCs w:val="24"/>
          <w:highlight w:val="none"/>
        </w:rPr>
        <w:t>商务标部分</w:t>
      </w:r>
      <w:r>
        <w:rPr>
          <w:rFonts w:hint="eastAsia" w:ascii="仿宋" w:hAnsi="仿宋" w:eastAsia="仿宋" w:cs="仿宋"/>
          <w:color w:val="auto"/>
          <w:sz w:val="24"/>
          <w:szCs w:val="24"/>
          <w:highlight w:val="none"/>
        </w:rPr>
        <w:t>主要包括内容详见招标文件第五章投标文件格式中的</w:t>
      </w:r>
      <w:r>
        <w:rPr>
          <w:rFonts w:hint="eastAsia" w:ascii="仿宋" w:hAnsi="仿宋" w:eastAsia="仿宋" w:cs="仿宋"/>
          <w:b/>
          <w:color w:val="auto"/>
          <w:sz w:val="24"/>
          <w:szCs w:val="24"/>
          <w:highlight w:val="none"/>
        </w:rPr>
        <w:t>“商务标”</w:t>
      </w:r>
      <w:r>
        <w:rPr>
          <w:rFonts w:hint="eastAsia" w:ascii="仿宋" w:hAnsi="仿宋" w:eastAsia="仿宋" w:cs="仿宋"/>
          <w:color w:val="auto"/>
          <w:sz w:val="24"/>
          <w:szCs w:val="24"/>
          <w:highlight w:val="none"/>
        </w:rPr>
        <w:t>。</w:t>
      </w:r>
    </w:p>
    <w:p w14:paraId="1CC8F0DC">
      <w:pPr>
        <w:pStyle w:val="2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114.5</w:t>
      </w:r>
      <w:r>
        <w:rPr>
          <w:rFonts w:hint="eastAsia" w:ascii="仿宋" w:hAnsi="仿宋" w:eastAsia="仿宋" w:cs="仿宋"/>
          <w:b/>
          <w:color w:val="auto"/>
          <w:sz w:val="24"/>
          <w:szCs w:val="24"/>
          <w:highlight w:val="none"/>
          <w:lang w:val="en-US" w:eastAsia="zh-CN"/>
        </w:rPr>
        <w:t>电子U盘包括“资信标”“技术标”“商务标”全部内容。</w:t>
      </w:r>
    </w:p>
    <w:p w14:paraId="6D6B42E6">
      <w:pPr>
        <w:pStyle w:val="11"/>
        <w:tabs>
          <w:tab w:val="left" w:pos="1000"/>
        </w:tabs>
        <w:adjustRightInd/>
        <w:spacing w:line="360" w:lineRule="auto"/>
        <w:ind w:firstLine="472" w:firstLineChars="196"/>
        <w:rPr>
          <w:rFonts w:ascii="仿宋" w:hAnsi="仿宋" w:eastAsia="仿宋" w:cs="仿宋"/>
          <w:b/>
          <w:color w:val="auto"/>
          <w:sz w:val="24"/>
          <w:szCs w:val="24"/>
          <w:highlight w:val="none"/>
        </w:rPr>
      </w:pPr>
      <w:bookmarkStart w:id="31" w:name="_Toc219773118"/>
      <w:r>
        <w:rPr>
          <w:rFonts w:hint="eastAsia" w:ascii="仿宋" w:hAnsi="仿宋" w:eastAsia="仿宋" w:cs="仿宋"/>
          <w:b/>
          <w:color w:val="auto"/>
          <w:sz w:val="24"/>
          <w:szCs w:val="24"/>
          <w:highlight w:val="none"/>
          <w:lang w:eastAsia="zh-CN"/>
        </w:rPr>
        <w:t>12.</w:t>
      </w:r>
      <w:bookmarkEnd w:id="31"/>
      <w:r>
        <w:rPr>
          <w:rFonts w:hint="eastAsia" w:ascii="仿宋" w:hAnsi="仿宋" w:eastAsia="仿宋" w:cs="仿宋"/>
          <w:b/>
          <w:color w:val="auto"/>
          <w:sz w:val="24"/>
          <w:szCs w:val="24"/>
          <w:highlight w:val="none"/>
        </w:rPr>
        <w:t xml:space="preserve">投标文件格式  </w:t>
      </w:r>
    </w:p>
    <w:p w14:paraId="1CA91E21">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12.1</w:t>
      </w:r>
      <w:r>
        <w:rPr>
          <w:rFonts w:hint="eastAsia" w:ascii="仿宋" w:hAnsi="仿宋" w:eastAsia="仿宋" w:cs="仿宋"/>
          <w:b/>
          <w:bCs/>
          <w:color w:val="auto"/>
          <w:sz w:val="24"/>
          <w:szCs w:val="24"/>
          <w:highlight w:val="none"/>
        </w:rPr>
        <w:t>投标人须分别编制资信标、技术标、商务标。纸质投标的项目，投标文件分别打印封装，电子U盘装入</w:t>
      </w:r>
      <w:r>
        <w:rPr>
          <w:rFonts w:hint="eastAsia" w:ascii="仿宋" w:hAnsi="仿宋" w:eastAsia="仿宋" w:cs="仿宋"/>
          <w:b/>
          <w:bCs/>
          <w:color w:val="auto"/>
          <w:sz w:val="24"/>
          <w:szCs w:val="24"/>
          <w:highlight w:val="none"/>
          <w:lang w:val="en-US" w:eastAsia="zh-CN"/>
        </w:rPr>
        <w:t>资信</w:t>
      </w:r>
      <w:r>
        <w:rPr>
          <w:rFonts w:hint="eastAsia" w:ascii="仿宋" w:hAnsi="仿宋" w:eastAsia="仿宋" w:cs="仿宋"/>
          <w:b/>
          <w:bCs/>
          <w:color w:val="auto"/>
          <w:sz w:val="24"/>
          <w:szCs w:val="24"/>
          <w:highlight w:val="none"/>
        </w:rPr>
        <w:t>标正本内。</w:t>
      </w:r>
    </w:p>
    <w:p w14:paraId="5EA9B0FC">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12.2 投标文件包括本须知第11条中规定的内容，投标人提交的投标文件应当使用招标文件所提供的投标文件全部格式编制投标文件，但表格可以按同样格式扩展。</w:t>
      </w:r>
    </w:p>
    <w:p w14:paraId="4E7FC425">
      <w:pPr>
        <w:pStyle w:val="11"/>
        <w:tabs>
          <w:tab w:val="left" w:pos="1000"/>
        </w:tabs>
        <w:adjustRightInd/>
        <w:spacing w:line="360" w:lineRule="auto"/>
        <w:ind w:firstLine="482" w:firstLineChars="200"/>
        <w:rPr>
          <w:rFonts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13.</w:t>
      </w:r>
      <w:r>
        <w:rPr>
          <w:rFonts w:hint="eastAsia" w:ascii="仿宋" w:hAnsi="仿宋" w:eastAsia="仿宋" w:cs="仿宋"/>
          <w:b/>
          <w:color w:val="auto"/>
          <w:sz w:val="24"/>
          <w:szCs w:val="24"/>
          <w:highlight w:val="none"/>
        </w:rPr>
        <w:t>投标报价</w:t>
      </w:r>
      <w:bookmarkEnd w:id="30"/>
    </w:p>
    <w:p w14:paraId="45F640EB">
      <w:pPr>
        <w:pStyle w:val="128"/>
        <w:spacing w:line="360" w:lineRule="auto"/>
        <w:ind w:firstLine="480" w:firstLineChars="200"/>
        <w:rPr>
          <w:rFonts w:ascii="仿宋" w:hAnsi="仿宋" w:eastAsia="仿宋" w:cs="仿宋"/>
          <w:color w:val="auto"/>
          <w:sz w:val="24"/>
          <w:szCs w:val="24"/>
          <w:highlight w:val="none"/>
        </w:rPr>
      </w:pPr>
      <w:bookmarkStart w:id="32" w:name="_Toc219773120"/>
      <w:r>
        <w:rPr>
          <w:rFonts w:hint="eastAsia" w:ascii="仿宋" w:hAnsi="仿宋" w:eastAsia="仿宋" w:cs="仿宋"/>
          <w:color w:val="auto"/>
          <w:sz w:val="24"/>
          <w:szCs w:val="24"/>
          <w:highlight w:val="none"/>
        </w:rPr>
        <w:t>13.1投标报价总价为完成本项目全部工作内容的固定总价。</w:t>
      </w:r>
    </w:p>
    <w:p w14:paraId="616D648E">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13.2本项目商务文件以“</w:t>
      </w:r>
      <w:r>
        <w:rPr>
          <w:rFonts w:hint="eastAsia" w:ascii="仿宋" w:hAnsi="仿宋" w:eastAsia="仿宋" w:cs="仿宋"/>
          <w:color w:val="auto"/>
          <w:sz w:val="24"/>
          <w:szCs w:val="24"/>
          <w:highlight w:val="none"/>
          <w:lang w:val="en-US" w:eastAsia="zh-CN"/>
        </w:rPr>
        <w:t>费率</w:t>
      </w:r>
      <w:r>
        <w:rPr>
          <w:rFonts w:hint="eastAsia" w:ascii="仿宋" w:hAnsi="仿宋" w:eastAsia="仿宋" w:cs="仿宋"/>
          <w:color w:val="auto"/>
          <w:sz w:val="24"/>
          <w:szCs w:val="24"/>
          <w:highlight w:val="none"/>
        </w:rPr>
        <w:t>”方式进行投标报价；设计费报价应包含本招标文件及其它补充文件所说明的全部设计工作的费用，如施工技术配合费、中标后方案设计优化、施工图设计优化、设计文件中提到的需二次设计，以及施工过程中设计服务等一切可能发生的费用，中标后不再调整。</w:t>
      </w:r>
    </w:p>
    <w:p w14:paraId="486D7E4B">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13.3各类评审论证及汇报等所需的评审专家费（含住宿、餐饮、会务、交通）和资料打复印费均由中标人承担。</w:t>
      </w:r>
    </w:p>
    <w:p w14:paraId="0BABE83F">
      <w:pPr>
        <w:pStyle w:val="128"/>
        <w:spacing w:line="360"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14.</w:t>
      </w:r>
      <w:r>
        <w:rPr>
          <w:rFonts w:hint="eastAsia" w:ascii="仿宋" w:hAnsi="仿宋" w:eastAsia="仿宋" w:cs="仿宋"/>
          <w:b/>
          <w:bCs/>
          <w:color w:val="auto"/>
          <w:sz w:val="24"/>
          <w:szCs w:val="24"/>
          <w:highlight w:val="none"/>
        </w:rPr>
        <w:t>投标和支付所使用的货币</w:t>
      </w:r>
      <w:bookmarkEnd w:id="32"/>
    </w:p>
    <w:p w14:paraId="1679D4BD">
      <w:pPr>
        <w:pStyle w:val="63"/>
        <w:spacing w:line="360" w:lineRule="auto"/>
        <w:ind w:firstLine="480" w:firstLineChars="200"/>
        <w:rPr>
          <w:rFonts w:ascii="仿宋" w:hAnsi="仿宋" w:eastAsia="仿宋" w:cs="仿宋"/>
          <w:color w:val="auto"/>
          <w:sz w:val="24"/>
          <w:szCs w:val="24"/>
          <w:highlight w:val="none"/>
        </w:rPr>
      </w:pPr>
      <w:bookmarkStart w:id="33" w:name="_Toc219773121"/>
      <w:r>
        <w:rPr>
          <w:rFonts w:hint="eastAsia" w:ascii="仿宋" w:hAnsi="仿宋" w:eastAsia="仿宋" w:cs="仿宋"/>
          <w:color w:val="auto"/>
          <w:sz w:val="24"/>
          <w:szCs w:val="24"/>
          <w:highlight w:val="none"/>
        </w:rPr>
        <w:t>14.1本工程投标报价采用的币种为</w:t>
      </w:r>
      <w:r>
        <w:rPr>
          <w:rFonts w:hint="eastAsia" w:ascii="仿宋" w:hAnsi="仿宋" w:eastAsia="仿宋" w:cs="仿宋"/>
          <w:color w:val="auto"/>
          <w:sz w:val="24"/>
          <w:szCs w:val="24"/>
          <w:highlight w:val="none"/>
          <w:u w:val="single"/>
        </w:rPr>
        <w:t xml:space="preserve">  人民币  </w:t>
      </w:r>
      <w:r>
        <w:rPr>
          <w:rFonts w:hint="eastAsia" w:ascii="仿宋" w:hAnsi="仿宋" w:eastAsia="仿宋" w:cs="仿宋"/>
          <w:color w:val="auto"/>
          <w:sz w:val="24"/>
          <w:szCs w:val="24"/>
          <w:highlight w:val="none"/>
        </w:rPr>
        <w:t xml:space="preserve">。 </w:t>
      </w:r>
    </w:p>
    <w:p w14:paraId="0DB9480C">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15.</w:t>
      </w:r>
      <w:r>
        <w:rPr>
          <w:rFonts w:hint="eastAsia" w:ascii="仿宋" w:hAnsi="仿宋" w:eastAsia="仿宋" w:cs="仿宋"/>
          <w:b/>
          <w:color w:val="auto"/>
          <w:sz w:val="24"/>
          <w:szCs w:val="24"/>
          <w:highlight w:val="none"/>
        </w:rPr>
        <w:t>投标有效期</w:t>
      </w:r>
      <w:bookmarkEnd w:id="33"/>
    </w:p>
    <w:p w14:paraId="2D3D26B3">
      <w:pPr>
        <w:pStyle w:val="63"/>
        <w:spacing w:line="360" w:lineRule="auto"/>
        <w:ind w:firstLine="480" w:firstLineChars="200"/>
        <w:rPr>
          <w:rFonts w:ascii="仿宋" w:hAnsi="仿宋" w:eastAsia="仿宋" w:cs="仿宋"/>
          <w:color w:val="auto"/>
          <w:sz w:val="24"/>
          <w:szCs w:val="24"/>
          <w:highlight w:val="none"/>
        </w:rPr>
      </w:pPr>
      <w:bookmarkStart w:id="34" w:name="_Toc219773122"/>
      <w:r>
        <w:rPr>
          <w:rFonts w:hint="eastAsia" w:ascii="仿宋" w:hAnsi="仿宋" w:eastAsia="仿宋" w:cs="仿宋"/>
          <w:color w:val="auto"/>
          <w:sz w:val="24"/>
          <w:szCs w:val="24"/>
          <w:highlight w:val="none"/>
        </w:rPr>
        <w:t>15.1投标有效期见本须知前附表规定的期限，在此期限内，凡符合本招标文件要求的投标文件均保持有效。</w:t>
      </w:r>
    </w:p>
    <w:p w14:paraId="1EF7E116">
      <w:pPr>
        <w:pStyle w:val="63"/>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15.2在特殊情况下，招标人在原定投标有效期内，可以根据需要向投标人提出延长投标有效期的要求，投标人可以拒绝招标人这种要求，而不被没收保证金，但是对拒绝延长投标有效期的投标单位招标人有权利拒绝其投标文件。同意延长投标有效期的投标人既不能要求也不允许修改其投标文件，但需要相应</w:t>
      </w:r>
      <w:r>
        <w:rPr>
          <w:rFonts w:hint="eastAsia" w:ascii="仿宋" w:hAnsi="仿宋" w:eastAsia="仿宋" w:cs="仿宋"/>
          <w:color w:val="auto"/>
          <w:sz w:val="24"/>
          <w:szCs w:val="24"/>
          <w:highlight w:val="none"/>
          <w:lang w:eastAsia="zh-CN"/>
        </w:rPr>
        <w:t>地</w:t>
      </w:r>
      <w:r>
        <w:rPr>
          <w:rFonts w:hint="eastAsia" w:ascii="仿宋" w:hAnsi="仿宋" w:eastAsia="仿宋" w:cs="仿宋"/>
          <w:color w:val="auto"/>
          <w:sz w:val="24"/>
          <w:szCs w:val="24"/>
          <w:highlight w:val="none"/>
        </w:rPr>
        <w:t>延长投标担保的有效期，在延长的投标有效期内本须知第16条关于投标担保的退还与没收的规定仍然适用。</w:t>
      </w:r>
    </w:p>
    <w:bookmarkEnd w:id="34"/>
    <w:p w14:paraId="1F8F326F">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16.</w:t>
      </w:r>
      <w:r>
        <w:rPr>
          <w:rFonts w:hint="eastAsia" w:ascii="仿宋" w:hAnsi="仿宋" w:eastAsia="仿宋" w:cs="仿宋"/>
          <w:color w:val="auto"/>
          <w:sz w:val="24"/>
          <w:szCs w:val="24"/>
          <w:highlight w:val="none"/>
        </w:rPr>
        <w:t>投标担保（无）</w:t>
      </w:r>
    </w:p>
    <w:p w14:paraId="7407F6DC">
      <w:pPr>
        <w:pStyle w:val="20"/>
        <w:spacing w:line="360" w:lineRule="auto"/>
        <w:ind w:firstLine="480" w:firstLineChars="200"/>
        <w:rPr>
          <w:rFonts w:ascii="仿宋" w:hAnsi="仿宋" w:eastAsia="仿宋" w:cs="仿宋"/>
          <w:color w:val="auto"/>
          <w:sz w:val="24"/>
          <w:szCs w:val="24"/>
          <w:highlight w:val="none"/>
        </w:rPr>
      </w:pPr>
      <w:bookmarkStart w:id="35" w:name="_Toc219773123"/>
      <w:r>
        <w:rPr>
          <w:rFonts w:hint="eastAsia" w:ascii="仿宋" w:hAnsi="仿宋" w:eastAsia="仿宋" w:cs="仿宋"/>
          <w:color w:val="auto"/>
          <w:sz w:val="24"/>
          <w:szCs w:val="24"/>
          <w:highlight w:val="none"/>
        </w:rPr>
        <w:t>16.1投标人应在本须知前附表规定的时间前提交一笔不少于前附表规定数额的投标担保，并作为其投标文件的一部分。</w:t>
      </w:r>
    </w:p>
    <w:p w14:paraId="4004879C">
      <w:pPr>
        <w:pStyle w:val="20"/>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16.2</w:t>
      </w:r>
      <w:r>
        <w:rPr>
          <w:rFonts w:hint="eastAsia" w:ascii="仿宋" w:hAnsi="仿宋" w:eastAsia="仿宋" w:cs="仿宋"/>
          <w:color w:val="auto"/>
          <w:spacing w:val="10"/>
          <w:kern w:val="24"/>
          <w:sz w:val="24"/>
          <w:szCs w:val="24"/>
          <w:highlight w:val="none"/>
        </w:rPr>
        <w:t>投标人应按要求提交投标担保，保证金的形式见须知前附表，接受投标保证金的银行及帐号详见招标公告</w:t>
      </w:r>
      <w:r>
        <w:rPr>
          <w:rFonts w:hint="eastAsia" w:ascii="仿宋" w:hAnsi="仿宋" w:eastAsia="仿宋" w:cs="仿宋"/>
          <w:b/>
          <w:color w:val="auto"/>
          <w:spacing w:val="10"/>
          <w:kern w:val="24"/>
          <w:sz w:val="24"/>
          <w:szCs w:val="24"/>
          <w:highlight w:val="none"/>
        </w:rPr>
        <w:t>。任何未按规定提交投标保证金的投标人，将被视为自动放弃投标资格。</w:t>
      </w:r>
    </w:p>
    <w:p w14:paraId="4D9D3C93">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16.3对于未能按要求提交投标担保的投标，招标人将视为不响应招标文件而予以拒绝。</w:t>
      </w:r>
    </w:p>
    <w:p w14:paraId="1B90A643">
      <w:pPr>
        <w:pStyle w:val="2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color w:val="auto"/>
          <w:sz w:val="24"/>
          <w:szCs w:val="24"/>
          <w:highlight w:val="none"/>
        </w:rPr>
        <w:t>16.4</w:t>
      </w:r>
      <w:r>
        <w:rPr>
          <w:rFonts w:hint="eastAsia" w:ascii="仿宋" w:hAnsi="仿宋" w:eastAsia="仿宋" w:cs="仿宋"/>
          <w:b/>
          <w:bCs/>
          <w:color w:val="auto"/>
          <w:sz w:val="24"/>
          <w:highlight w:val="none"/>
        </w:rPr>
        <w:t>非预中标人的投标保证金将在中标候选人公示后五日内退还；排名第一的预中标候选人的投标保证金将在合同签订后五日内退还，其他预中标候选人的保证金在中标公告后的五日内退还。</w:t>
      </w:r>
    </w:p>
    <w:p w14:paraId="3BEED129">
      <w:pPr>
        <w:pStyle w:val="2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因项目开标时间推迟的原因，已转账缴入指定账户的投标保证金，投标人不得以撤回投标等理由要求在前款规定的时间前退还。</w:t>
      </w:r>
    </w:p>
    <w:bookmarkEnd w:id="35"/>
    <w:p w14:paraId="3B90B925">
      <w:pPr>
        <w:pStyle w:val="20"/>
        <w:spacing w:line="360" w:lineRule="auto"/>
        <w:ind w:firstLine="472" w:firstLineChars="196"/>
        <w:rPr>
          <w:rFonts w:ascii="仿宋" w:hAnsi="仿宋" w:eastAsia="仿宋" w:cs="仿宋"/>
          <w:b/>
          <w:color w:val="auto"/>
          <w:sz w:val="24"/>
          <w:szCs w:val="24"/>
          <w:highlight w:val="none"/>
        </w:rPr>
      </w:pPr>
      <w:r>
        <w:rPr>
          <w:rFonts w:hint="eastAsia" w:ascii="仿宋" w:hAnsi="仿宋" w:eastAsia="仿宋" w:cs="仿宋"/>
          <w:b/>
          <w:bCs/>
          <w:color w:val="auto"/>
          <w:sz w:val="24"/>
          <w:szCs w:val="24"/>
          <w:highlight w:val="none"/>
          <w:lang w:eastAsia="zh-CN"/>
        </w:rPr>
        <w:t>17.</w:t>
      </w:r>
      <w:r>
        <w:rPr>
          <w:rFonts w:hint="eastAsia" w:ascii="仿宋" w:hAnsi="仿宋" w:eastAsia="仿宋" w:cs="仿宋"/>
          <w:b/>
          <w:color w:val="auto"/>
          <w:sz w:val="24"/>
          <w:szCs w:val="24"/>
          <w:highlight w:val="none"/>
        </w:rPr>
        <w:t>投标替代方案</w:t>
      </w:r>
    </w:p>
    <w:p w14:paraId="04A5FACB">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17.1 投标人所提交的方案应满足招标文件的要求，除非本须知前附表中允许投标人提交替代方案，否则替代方案将不予考虑。如果允许投标人提交替代方案，则执行本须知第17.2条规定。</w:t>
      </w:r>
    </w:p>
    <w:p w14:paraId="1FE9F23C">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17.2如果本须知前附表中允许投标人提交替代方案，则投标人除提交正式投标文件外，还应按照招标文件要求提交替代方案。替代方案应包括设计计算书、技术规范、单价分析表、替代方案报价书、所建议的施工方案等满足评审需要的全部资料。</w:t>
      </w:r>
    </w:p>
    <w:p w14:paraId="085EE8D3">
      <w:pPr>
        <w:pStyle w:val="20"/>
        <w:spacing w:line="360" w:lineRule="auto"/>
        <w:ind w:firstLine="472" w:firstLineChars="196"/>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18.</w:t>
      </w:r>
      <w:r>
        <w:rPr>
          <w:rFonts w:hint="eastAsia" w:ascii="仿宋" w:hAnsi="仿宋" w:eastAsia="仿宋" w:cs="仿宋"/>
          <w:b/>
          <w:color w:val="auto"/>
          <w:sz w:val="24"/>
          <w:szCs w:val="24"/>
          <w:highlight w:val="none"/>
        </w:rPr>
        <w:t>投标文件的份数和签署</w:t>
      </w:r>
    </w:p>
    <w:p w14:paraId="035E84B0">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18.1 投标人应按本须知前附表规定的份数和招标文件规定的格式，编制并提交投标文件。</w:t>
      </w:r>
    </w:p>
    <w:p w14:paraId="4BBA93D9">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18.2使用纸质的投标文件正本和副本均需采用打印或使用不褪色的蓝、黑墨水笔书写，字迹应清晰易于辨认，并应在投标文件封面的右上角清楚地注明“正本”或“副本”。正本和副本如有不一致之处，以正本为准。投标文件“正本”与“副本”字样须使用不能擦去的黑色墨迹打印或书写。</w:t>
      </w:r>
    </w:p>
    <w:p w14:paraId="48D8B2E7">
      <w:pPr>
        <w:pStyle w:val="20"/>
        <w:spacing w:line="360" w:lineRule="auto"/>
        <w:ind w:firstLine="480" w:firstLineChars="200"/>
        <w:rPr>
          <w:rFonts w:ascii="仿宋" w:hAnsi="仿宋" w:eastAsia="仿宋" w:cs="仿宋"/>
          <w:b/>
          <w:color w:val="auto"/>
          <w:spacing w:val="-2"/>
          <w:sz w:val="24"/>
          <w:szCs w:val="24"/>
          <w:highlight w:val="none"/>
        </w:rPr>
      </w:pPr>
      <w:r>
        <w:rPr>
          <w:rFonts w:hint="eastAsia" w:ascii="仿宋" w:hAnsi="仿宋" w:eastAsia="仿宋" w:cs="仿宋"/>
          <w:color w:val="auto"/>
          <w:sz w:val="24"/>
          <w:szCs w:val="24"/>
          <w:highlight w:val="none"/>
        </w:rPr>
        <w:t>18.3报价文件及技术标文件封面、投标函、投标报价汇总表、联合体共同投标协议书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若有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均应加盖投标人公章并经法定代表人或其委托代理人签字或加盖印章。由委托代理人签字或盖章的在投标文件中须同时提交投标文件签署授权委托书。投标文件签署授权委托书格式、签字、</w:t>
      </w:r>
      <w:r>
        <w:rPr>
          <w:rFonts w:hint="eastAsia" w:ascii="仿宋" w:hAnsi="仿宋" w:eastAsia="仿宋" w:cs="仿宋"/>
          <w:color w:val="auto"/>
          <w:spacing w:val="-2"/>
          <w:sz w:val="24"/>
          <w:szCs w:val="24"/>
          <w:highlight w:val="none"/>
        </w:rPr>
        <w:t>盖章及内容均应符合招标文件要求，否则投标文件签署授权委托书无效。以联合体共同投标的须有各成员的合法授权代表签字或盖章和各成员法人印章，并附联合体共同投标协议书。</w:t>
      </w:r>
    </w:p>
    <w:p w14:paraId="55193075">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18.4投标人按照本招标文件的规定对其投标文件相关内容签署盖章后，其投标文件所有内容均视为确认，对投标人起约束作用。</w:t>
      </w:r>
    </w:p>
    <w:p w14:paraId="44FCD264">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18.5 除投标人对错误处须修改外，全套纸质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14:paraId="1BBFA89A">
      <w:pPr>
        <w:pStyle w:val="128"/>
        <w:spacing w:line="360" w:lineRule="auto"/>
        <w:ind w:firstLine="480" w:firstLineChars="200"/>
        <w:rPr>
          <w:rFonts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18.6</w:t>
      </w:r>
      <w:r>
        <w:rPr>
          <w:rFonts w:hint="eastAsia" w:ascii="仿宋" w:hAnsi="仿宋" w:eastAsia="仿宋" w:cs="仿宋"/>
          <w:color w:val="auto"/>
          <w:sz w:val="24"/>
          <w:szCs w:val="24"/>
          <w:highlight w:val="none"/>
        </w:rPr>
        <w:t>纸质</w:t>
      </w:r>
      <w:r>
        <w:rPr>
          <w:rFonts w:hint="eastAsia" w:ascii="仿宋" w:hAnsi="仿宋" w:eastAsia="仿宋" w:cs="仿宋"/>
          <w:bCs/>
          <w:color w:val="auto"/>
          <w:sz w:val="24"/>
          <w:szCs w:val="24"/>
          <w:highlight w:val="none"/>
        </w:rPr>
        <w:t>投标文件建议双面打印。</w:t>
      </w:r>
    </w:p>
    <w:p w14:paraId="3CEC2FD1">
      <w:pPr>
        <w:pStyle w:val="63"/>
        <w:spacing w:line="360" w:lineRule="auto"/>
        <w:ind w:firstLine="482" w:firstLineChars="200"/>
        <w:rPr>
          <w:rFonts w:ascii="仿宋" w:hAnsi="仿宋" w:eastAsia="仿宋" w:cs="仿宋"/>
          <w:b/>
          <w:color w:val="auto"/>
          <w:sz w:val="24"/>
          <w:szCs w:val="24"/>
          <w:highlight w:val="none"/>
        </w:rPr>
      </w:pPr>
    </w:p>
    <w:bookmarkEnd w:id="27"/>
    <w:p w14:paraId="44F7E98D">
      <w:pPr>
        <w:spacing w:line="360" w:lineRule="auto"/>
        <w:jc w:val="center"/>
        <w:textAlignment w:val="auto"/>
        <w:rPr>
          <w:rFonts w:ascii="仿宋" w:hAnsi="仿宋" w:eastAsia="仿宋" w:cs="仿宋"/>
          <w:b/>
          <w:color w:val="auto"/>
          <w:kern w:val="2"/>
          <w:sz w:val="24"/>
          <w:szCs w:val="24"/>
          <w:highlight w:val="none"/>
        </w:rPr>
      </w:pPr>
      <w:bookmarkStart w:id="36" w:name="_Toc219773129"/>
      <w:r>
        <w:rPr>
          <w:rFonts w:hint="eastAsia" w:ascii="仿宋" w:hAnsi="仿宋" w:eastAsia="仿宋" w:cs="仿宋"/>
          <w:b/>
          <w:color w:val="auto"/>
          <w:kern w:val="2"/>
          <w:sz w:val="24"/>
          <w:szCs w:val="24"/>
          <w:highlight w:val="none"/>
        </w:rPr>
        <w:t>（四）投标文件的提交</w:t>
      </w:r>
    </w:p>
    <w:p w14:paraId="543B1329">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19.</w:t>
      </w:r>
      <w:r>
        <w:rPr>
          <w:rFonts w:hint="eastAsia" w:ascii="仿宋" w:hAnsi="仿宋" w:eastAsia="仿宋" w:cs="仿宋"/>
          <w:b/>
          <w:color w:val="auto"/>
          <w:sz w:val="24"/>
          <w:szCs w:val="24"/>
          <w:highlight w:val="none"/>
        </w:rPr>
        <w:t>投标文件的装订、密封和标记</w:t>
      </w:r>
    </w:p>
    <w:p w14:paraId="2D445C93">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19.1投标人应根据本招标文件下篇第五章“投标文件格式”的要求将纸质商务标投标文件、技术标投标文件、资信标投标文件分别密封装订并标明“资信标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商务标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技术标”等。</w:t>
      </w:r>
    </w:p>
    <w:p w14:paraId="4F0352A1">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19.2纸质投标文件的正本和所有副本应分别密封，并在密封袋上清楚地标明“正本”或“副本”，密封袋封口处应密封，并应加盖投标人法人章或法定代表人印章；</w:t>
      </w:r>
    </w:p>
    <w:p w14:paraId="543FB701">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 纸质投标文件在投标文件密封袋上均应写明：</w:t>
      </w:r>
    </w:p>
    <w:p w14:paraId="12845135">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19.3.1 招标人名称；</w:t>
      </w:r>
    </w:p>
    <w:p w14:paraId="77D959DA">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19.3.2 招标编号；</w:t>
      </w:r>
    </w:p>
    <w:p w14:paraId="44CB8AF2">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19.3.3 工程名称；</w:t>
      </w:r>
    </w:p>
    <w:p w14:paraId="2AE585E1">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19.3.4 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时分开标，此时间以前不得开启；</w:t>
      </w:r>
    </w:p>
    <w:p w14:paraId="68DA03E7">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19.3.5投标人名称和地址。</w:t>
      </w:r>
    </w:p>
    <w:p w14:paraId="6100B218">
      <w:pPr>
        <w:pStyle w:val="11"/>
        <w:tabs>
          <w:tab w:val="left" w:pos="1000"/>
        </w:tabs>
        <w:adjustRightInd/>
        <w:spacing w:line="360" w:lineRule="auto"/>
        <w:ind w:firstLine="480" w:firstLineChars="200"/>
        <w:rPr>
          <w:rFonts w:ascii="仿宋" w:hAnsi="仿宋" w:eastAsia="仿宋" w:cs="仿宋"/>
          <w:b/>
          <w:color w:val="auto"/>
          <w:sz w:val="24"/>
          <w:szCs w:val="24"/>
          <w:highlight w:val="none"/>
        </w:rPr>
      </w:pPr>
      <w:r>
        <w:rPr>
          <w:rFonts w:hint="eastAsia" w:ascii="仿宋" w:hAnsi="仿宋" w:eastAsia="仿宋" w:cs="仿宋"/>
          <w:color w:val="auto"/>
          <w:kern w:val="0"/>
          <w:sz w:val="24"/>
          <w:szCs w:val="24"/>
          <w:highlight w:val="none"/>
        </w:rPr>
        <w:t>19.4</w:t>
      </w:r>
      <w:r>
        <w:rPr>
          <w:rFonts w:hint="eastAsia" w:ascii="仿宋" w:hAnsi="仿宋" w:eastAsia="仿宋" w:cs="仿宋"/>
          <w:bCs/>
          <w:color w:val="auto"/>
          <w:sz w:val="24"/>
          <w:szCs w:val="24"/>
          <w:highlight w:val="none"/>
        </w:rPr>
        <w:t>以上</w:t>
      </w:r>
      <w:r>
        <w:rPr>
          <w:rFonts w:hint="eastAsia" w:ascii="仿宋" w:hAnsi="仿宋" w:eastAsia="仿宋" w:cs="仿宋"/>
          <w:color w:val="auto"/>
          <w:kern w:val="0"/>
          <w:sz w:val="24"/>
          <w:szCs w:val="24"/>
          <w:highlight w:val="none"/>
        </w:rPr>
        <w:t>19</w:t>
      </w:r>
      <w:r>
        <w:rPr>
          <w:rFonts w:hint="eastAsia" w:ascii="仿宋" w:hAnsi="仿宋" w:eastAsia="仿宋" w:cs="仿宋"/>
          <w:bCs/>
          <w:color w:val="auto"/>
          <w:sz w:val="24"/>
          <w:szCs w:val="24"/>
          <w:highlight w:val="none"/>
        </w:rPr>
        <w:t>条各项适用纸质投标文件。</w:t>
      </w:r>
    </w:p>
    <w:p w14:paraId="344712DB">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20.</w:t>
      </w:r>
      <w:r>
        <w:rPr>
          <w:rFonts w:hint="eastAsia" w:ascii="仿宋" w:hAnsi="仿宋" w:eastAsia="仿宋" w:cs="仿宋"/>
          <w:b/>
          <w:color w:val="auto"/>
          <w:sz w:val="24"/>
          <w:szCs w:val="24"/>
          <w:highlight w:val="none"/>
        </w:rPr>
        <w:t>投标文件的提交</w:t>
      </w:r>
    </w:p>
    <w:p w14:paraId="604A0AE6">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20.1投标人应按招标公告中规定的地点，于截止时间前提交投标文件。</w:t>
      </w:r>
    </w:p>
    <w:p w14:paraId="3FF91E24">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21.</w:t>
      </w:r>
      <w:r>
        <w:rPr>
          <w:rFonts w:hint="eastAsia" w:ascii="仿宋" w:hAnsi="仿宋" w:eastAsia="仿宋" w:cs="仿宋"/>
          <w:b/>
          <w:color w:val="auto"/>
          <w:sz w:val="24"/>
          <w:szCs w:val="24"/>
          <w:highlight w:val="none"/>
        </w:rPr>
        <w:t>迟交的投标文件</w:t>
      </w:r>
    </w:p>
    <w:p w14:paraId="4ED892F6">
      <w:pPr>
        <w:pStyle w:val="20"/>
        <w:spacing w:line="360"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21</w:t>
      </w:r>
      <w:r>
        <w:rPr>
          <w:rFonts w:hint="eastAsia" w:ascii="仿宋" w:hAnsi="仿宋" w:eastAsia="仿宋" w:cs="仿宋"/>
          <w:b/>
          <w:bCs/>
          <w:color w:val="auto"/>
          <w:sz w:val="24"/>
          <w:szCs w:val="24"/>
          <w:highlight w:val="none"/>
        </w:rPr>
        <w:t>.1投标人在投标截止时间后递交的投标文件，将被拒绝。</w:t>
      </w:r>
    </w:p>
    <w:p w14:paraId="5E906094">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22.</w:t>
      </w:r>
      <w:r>
        <w:rPr>
          <w:rFonts w:hint="eastAsia" w:ascii="仿宋" w:hAnsi="仿宋" w:eastAsia="仿宋" w:cs="仿宋"/>
          <w:b/>
          <w:color w:val="auto"/>
          <w:sz w:val="24"/>
          <w:szCs w:val="24"/>
          <w:highlight w:val="none"/>
        </w:rPr>
        <w:t>投标文件的补充、修改与撤回</w:t>
      </w:r>
    </w:p>
    <w:p w14:paraId="1D1D3B69">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22.1投标人在提交投标文件以后，在规定的投标截止时间之前，可以补充、修改或撤回已提交的投标文件，并通知招标人。补充、修改的内容为投标文件的组成部分。</w:t>
      </w:r>
    </w:p>
    <w:p w14:paraId="777797E5">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22.2采用纸质投标文件的，投标人对投标文件的补充、修改或撤回通知，应按须知本招标文件的规定密封、标记和提交，并在投标文件密封袋上清楚标明“补充、修改”或“撤回”字样。否则，补充、修改或撤回通知无效。</w:t>
      </w:r>
    </w:p>
    <w:p w14:paraId="335F716F">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22.3 在投标截止时间之后，投标人不得补充、修改投标文件。</w:t>
      </w:r>
    </w:p>
    <w:bookmarkEnd w:id="36"/>
    <w:p w14:paraId="4AFB97FF">
      <w:pPr>
        <w:spacing w:line="360" w:lineRule="auto"/>
        <w:jc w:val="center"/>
        <w:textAlignment w:val="auto"/>
        <w:rPr>
          <w:rFonts w:ascii="仿宋" w:hAnsi="仿宋" w:eastAsia="仿宋" w:cs="仿宋"/>
          <w:b/>
          <w:color w:val="auto"/>
          <w:kern w:val="2"/>
          <w:sz w:val="24"/>
          <w:szCs w:val="24"/>
          <w:highlight w:val="none"/>
        </w:rPr>
      </w:pPr>
      <w:bookmarkStart w:id="37" w:name="_Toc219773136"/>
    </w:p>
    <w:p w14:paraId="67839A5A">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（五）开标</w:t>
      </w:r>
    </w:p>
    <w:p w14:paraId="636684F7">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bookmarkStart w:id="38" w:name="_Toc219773131"/>
      <w:r>
        <w:rPr>
          <w:rFonts w:hint="eastAsia" w:ascii="仿宋" w:hAnsi="仿宋" w:eastAsia="仿宋" w:cs="仿宋"/>
          <w:b/>
          <w:color w:val="auto"/>
          <w:sz w:val="24"/>
          <w:szCs w:val="24"/>
          <w:highlight w:val="none"/>
          <w:lang w:eastAsia="zh-CN"/>
        </w:rPr>
        <w:t>23.</w:t>
      </w:r>
      <w:r>
        <w:rPr>
          <w:rFonts w:hint="eastAsia" w:ascii="仿宋" w:hAnsi="仿宋" w:eastAsia="仿宋" w:cs="仿宋"/>
          <w:b/>
          <w:color w:val="auto"/>
          <w:sz w:val="24"/>
          <w:szCs w:val="24"/>
          <w:highlight w:val="none"/>
        </w:rPr>
        <w:t>开标</w:t>
      </w:r>
    </w:p>
    <w:p w14:paraId="037100B5">
      <w:pPr>
        <w:pStyle w:val="128"/>
        <w:spacing w:line="360" w:lineRule="auto"/>
        <w:ind w:firstLine="480" w:firstLineChars="200"/>
        <w:rPr>
          <w:rFonts w:ascii="仿宋" w:hAnsi="仿宋" w:eastAsia="仿宋" w:cs="仿宋"/>
          <w:b/>
          <w:bCs/>
          <w:color w:val="auto"/>
          <w:sz w:val="24"/>
          <w:szCs w:val="24"/>
          <w:highlight w:val="none"/>
        </w:rPr>
      </w:pPr>
      <w:r>
        <w:rPr>
          <w:rFonts w:hint="eastAsia" w:ascii="仿宋" w:hAnsi="仿宋" w:eastAsia="仿宋" w:cs="仿宋"/>
          <w:bCs/>
          <w:color w:val="auto"/>
          <w:sz w:val="24"/>
          <w:szCs w:val="24"/>
          <w:highlight w:val="none"/>
        </w:rPr>
        <w:t>23.1招标人按招标公告所规定的时间和地点开标，并邀请所有投标人代表参加，</w:t>
      </w:r>
      <w:r>
        <w:rPr>
          <w:rFonts w:hint="eastAsia" w:ascii="仿宋" w:hAnsi="仿宋" w:eastAsia="仿宋" w:cs="仿宋"/>
          <w:b/>
          <w:bCs/>
          <w:color w:val="auto"/>
          <w:sz w:val="24"/>
          <w:szCs w:val="24"/>
          <w:highlight w:val="none"/>
        </w:rPr>
        <w:t>采用纸质投标文件投标的，投标单位代表递交纸质投标文件时，应出示法人授权书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格式参照招标文件提供的格式，法定代表人到场的不需要</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、有效身份证件原件，以便证明其身份。投标单位代表在回答专家的质询或对开评标活动现场提出异议的，也应按照上述要求出具相关授权和身份证明文件。</w:t>
      </w:r>
    </w:p>
    <w:p w14:paraId="0B91B2E7">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23.2按规定提交合格的撤回通知的投标文件不予开封，并退回给投标人；按本须知第24条规定确定为无效的投标文件，不予送交评审。</w:t>
      </w:r>
    </w:p>
    <w:p w14:paraId="350E6A67">
      <w:pPr>
        <w:pStyle w:val="20"/>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23.3</w:t>
      </w:r>
      <w:r>
        <w:rPr>
          <w:rFonts w:hint="eastAsia" w:ascii="仿宋" w:hAnsi="仿宋" w:eastAsia="仿宋" w:cs="仿宋"/>
          <w:b/>
          <w:bCs/>
          <w:color w:val="auto"/>
          <w:sz w:val="24"/>
          <w:szCs w:val="24"/>
          <w:highlight w:val="none"/>
        </w:rPr>
        <w:t>投标人必须保证其标书中所有资料的真实性。若有弄虚作假及其它违法违规行为的，由监督管理部门依照相关法律法规进行处理，记入不良行为记录。不论其是否为中标候选人，均不对已评审的结果重新计算，是中标候选人的，取消其中标资格。</w:t>
      </w:r>
    </w:p>
    <w:p w14:paraId="7B89E3F2">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23.4开标由招标人或招标代理机构主持，主持人并按下列程序进行：</w:t>
      </w:r>
    </w:p>
    <w:p w14:paraId="2AC9B68E">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23.4.1由主持人宣布开标会开始、同时宣布开标人、唱标人、记录人和监督人员及到场的相关人员；</w:t>
      </w:r>
    </w:p>
    <w:p w14:paraId="63FB42D0">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23.4.2宣读至投标截止时间前接收到递交的有效投标文件的份数及投标单位名称，并现场核实到场投标人身份证明；</w:t>
      </w:r>
    </w:p>
    <w:p w14:paraId="63418493">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23.4.3招标人和投标人的代表共同检查各投标书密封情况，对密封情况有异议的应当场提出，标书开启后不再接受任何对标书密封情况的异议和投诉；</w:t>
      </w:r>
    </w:p>
    <w:p w14:paraId="32153E5C">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23.4.4主持人告知所有投标人，任何对开标期间的异议应当在开标现场提出，开标结束后，不再接受任何对开标的异议和投诉；</w:t>
      </w:r>
    </w:p>
    <w:p w14:paraId="6B21CE2B">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23.4.5主持人按投标书送达时间逆顺序进行开标、唱标。各投标单位对开标情况记录进行签字或在线签章确认；</w:t>
      </w:r>
    </w:p>
    <w:p w14:paraId="0ABCC7C7">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23.4.6开标结束。</w:t>
      </w:r>
    </w:p>
    <w:p w14:paraId="4E9CD7D9">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23.5开标记录：招标人或其委托的招标代理机构对开标过程进行记录并在系统中填写所有投标单位的报价、工期及项目负责人信息，如有纸质资料应妥善保管并存档备查。</w:t>
      </w:r>
    </w:p>
    <w:p w14:paraId="39FC5D80">
      <w:pPr>
        <w:pStyle w:val="20"/>
        <w:spacing w:line="360" w:lineRule="auto"/>
        <w:ind w:firstLine="472" w:firstLineChars="196"/>
        <w:rPr>
          <w:rFonts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24.</w:t>
      </w:r>
      <w:r>
        <w:rPr>
          <w:rFonts w:hint="eastAsia" w:ascii="仿宋" w:hAnsi="仿宋" w:eastAsia="仿宋" w:cs="仿宋"/>
          <w:b/>
          <w:bCs/>
          <w:color w:val="auto"/>
          <w:sz w:val="24"/>
          <w:szCs w:val="24"/>
          <w:highlight w:val="none"/>
        </w:rPr>
        <w:t>投标文件有下列情形之一的，招标人将不予接受</w:t>
      </w:r>
      <w:r>
        <w:rPr>
          <w:rFonts w:hint="eastAsia" w:ascii="仿宋" w:hAnsi="仿宋" w:eastAsia="仿宋" w:cs="仿宋"/>
          <w:color w:val="auto"/>
          <w:sz w:val="24"/>
          <w:szCs w:val="24"/>
          <w:highlight w:val="none"/>
        </w:rPr>
        <w:t xml:space="preserve">： </w:t>
      </w:r>
    </w:p>
    <w:p w14:paraId="697E1B83">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23.1逾期送达的或者未送达指定地点的； </w:t>
      </w:r>
    </w:p>
    <w:p w14:paraId="0087204A">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23.2纸质投标文件，未按招标文件要求包装、密封</w:t>
      </w:r>
      <w:r>
        <w:rPr>
          <w:rFonts w:hint="eastAsia" w:ascii="仿宋" w:hAnsi="仿宋" w:eastAsia="仿宋" w:cs="仿宋"/>
          <w:bCs/>
          <w:color w:val="auto"/>
          <w:sz w:val="24"/>
          <w:szCs w:val="24"/>
          <w:highlight w:val="none"/>
        </w:rPr>
        <w:t>及加写标记</w:t>
      </w:r>
      <w:r>
        <w:rPr>
          <w:rFonts w:hint="eastAsia" w:ascii="仿宋" w:hAnsi="仿宋" w:eastAsia="仿宋" w:cs="仿宋"/>
          <w:color w:val="auto"/>
          <w:sz w:val="24"/>
          <w:szCs w:val="24"/>
          <w:highlight w:val="none"/>
        </w:rPr>
        <w:t>的。</w:t>
      </w:r>
    </w:p>
    <w:p w14:paraId="371F61C0">
      <w:pPr>
        <w:spacing w:line="360" w:lineRule="auto"/>
        <w:jc w:val="center"/>
        <w:textAlignment w:val="auto"/>
        <w:rPr>
          <w:rFonts w:ascii="仿宋" w:hAnsi="仿宋" w:eastAsia="仿宋" w:cs="仿宋"/>
          <w:b/>
          <w:color w:val="auto"/>
          <w:kern w:val="2"/>
          <w:sz w:val="24"/>
          <w:szCs w:val="24"/>
          <w:highlight w:val="none"/>
        </w:rPr>
      </w:pPr>
    </w:p>
    <w:p w14:paraId="02E7DB5B">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（六）评标</w:t>
      </w:r>
      <w:bookmarkEnd w:id="38"/>
      <w:r>
        <w:rPr>
          <w:rFonts w:hint="eastAsia" w:ascii="仿宋" w:hAnsi="仿宋" w:eastAsia="仿宋" w:cs="仿宋"/>
          <w:b/>
          <w:color w:val="auto"/>
          <w:kern w:val="2"/>
          <w:sz w:val="24"/>
          <w:szCs w:val="24"/>
          <w:highlight w:val="none"/>
        </w:rPr>
        <w:t>、定标</w:t>
      </w:r>
    </w:p>
    <w:bookmarkEnd w:id="37"/>
    <w:p w14:paraId="6813A253">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bookmarkStart w:id="39" w:name="_Toc219773138"/>
      <w:r>
        <w:rPr>
          <w:rFonts w:hint="eastAsia" w:ascii="仿宋" w:hAnsi="仿宋" w:eastAsia="仿宋" w:cs="仿宋"/>
          <w:b/>
          <w:color w:val="auto"/>
          <w:sz w:val="24"/>
          <w:szCs w:val="24"/>
          <w:highlight w:val="none"/>
          <w:lang w:eastAsia="zh-CN"/>
        </w:rPr>
        <w:t>25.</w:t>
      </w:r>
      <w:r>
        <w:rPr>
          <w:rFonts w:hint="eastAsia" w:ascii="仿宋" w:hAnsi="仿宋" w:eastAsia="仿宋" w:cs="仿宋"/>
          <w:b/>
          <w:color w:val="auto"/>
          <w:sz w:val="24"/>
          <w:szCs w:val="24"/>
          <w:highlight w:val="none"/>
        </w:rPr>
        <w:t>评标委员会与评标</w:t>
      </w:r>
    </w:p>
    <w:p w14:paraId="04672903">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25.1评标委员会由招标人依法组建，评标活动由评标委员会负责。</w:t>
      </w:r>
    </w:p>
    <w:p w14:paraId="7DE49569">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25.2开标结束后，开始评标，评标在保密的环境中进行。</w:t>
      </w:r>
    </w:p>
    <w:p w14:paraId="1EC1248E">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26.</w:t>
      </w:r>
      <w:r>
        <w:rPr>
          <w:rFonts w:hint="eastAsia" w:ascii="仿宋" w:hAnsi="仿宋" w:eastAsia="仿宋" w:cs="仿宋"/>
          <w:b/>
          <w:color w:val="auto"/>
          <w:sz w:val="24"/>
          <w:szCs w:val="24"/>
          <w:highlight w:val="none"/>
        </w:rPr>
        <w:t>评标过程的保密</w:t>
      </w:r>
    </w:p>
    <w:p w14:paraId="5E21DB39">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26.1开标后，直至授予中标人合同为止，凡属于对投标文件的审查、澄清、评价和比较的有关资料以及中标候选人的推荐情况，与评标有关的其他任何情况均严格保密。</w:t>
      </w:r>
    </w:p>
    <w:p w14:paraId="08B0C0E0">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26.2 在投标文件的评审和比较、中标候选人推荐以及授予合同的过程中，投标人向招标人和评标委员会施加影响的任何行为，都将会导致其投标被拒绝。</w:t>
      </w:r>
    </w:p>
    <w:p w14:paraId="109A8655">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26.3中标人确定后，招标人不对未中标人就评标过程以及未能中标原因作出任何解释。未中标人不得向评标委员会组成人员或其他有关人员询问评标过程的情况和材料。</w:t>
      </w:r>
    </w:p>
    <w:p w14:paraId="2245EF36">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27.</w:t>
      </w:r>
      <w:r>
        <w:rPr>
          <w:rFonts w:hint="eastAsia" w:ascii="仿宋" w:hAnsi="仿宋" w:eastAsia="仿宋" w:cs="仿宋"/>
          <w:b/>
          <w:color w:val="auto"/>
          <w:sz w:val="24"/>
          <w:szCs w:val="24"/>
          <w:highlight w:val="none"/>
        </w:rPr>
        <w:t>投标文件的澄清</w:t>
      </w:r>
    </w:p>
    <w:p w14:paraId="531AF2E5">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27.1 为有助于投标文件的审查、评价和比较，评标委员会可以书面形式要求投标人对投标文件含义不明确的内容</w:t>
      </w:r>
      <w:r>
        <w:rPr>
          <w:rFonts w:hint="eastAsia" w:ascii="仿宋" w:hAnsi="仿宋" w:eastAsia="仿宋" w:cs="仿宋"/>
          <w:color w:val="auto"/>
          <w:sz w:val="24"/>
          <w:szCs w:val="24"/>
          <w:highlight w:val="none"/>
          <w:lang w:eastAsia="zh-CN"/>
        </w:rPr>
        <w:t>作出</w:t>
      </w:r>
      <w:r>
        <w:rPr>
          <w:rFonts w:hint="eastAsia" w:ascii="仿宋" w:hAnsi="仿宋" w:eastAsia="仿宋" w:cs="仿宋"/>
          <w:color w:val="auto"/>
          <w:sz w:val="24"/>
          <w:szCs w:val="24"/>
          <w:highlight w:val="none"/>
        </w:rPr>
        <w:t>必要的澄清或说明，投标人应采用书面形式进行澄清或说明，但不得超出投标文件的范围或改变投标文件的实质性内容。凡属于评标委员会在评标中发现的计算错误进行核实的修改不在此列。</w:t>
      </w:r>
    </w:p>
    <w:p w14:paraId="40879A90">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27.2 有下列情形之一的，在评标现场评标时，评标委员会可以要求投标人当场作出书面说明并提供相关材料：</w:t>
      </w:r>
    </w:p>
    <w:p w14:paraId="2C1A6AAF">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（一）设有招标控制</w:t>
      </w:r>
      <w:r>
        <w:rPr>
          <w:rFonts w:hint="eastAsia" w:ascii="仿宋" w:hAnsi="仿宋" w:eastAsia="仿宋" w:cs="仿宋"/>
          <w:color w:val="auto"/>
          <w:sz w:val="24"/>
          <w:szCs w:val="24"/>
          <w:highlight w:val="none"/>
          <w:lang w:val="en-US" w:eastAsia="zh-CN"/>
        </w:rPr>
        <w:t>费率</w:t>
      </w:r>
      <w:r>
        <w:rPr>
          <w:rFonts w:hint="eastAsia" w:ascii="仿宋" w:hAnsi="仿宋" w:eastAsia="仿宋" w:cs="仿宋"/>
          <w:color w:val="auto"/>
          <w:sz w:val="24"/>
          <w:szCs w:val="24"/>
          <w:highlight w:val="none"/>
        </w:rPr>
        <w:t>（最高投标限价）的，投标报价低于最高投标限价合理幅度的；</w:t>
      </w:r>
    </w:p>
    <w:p w14:paraId="2F504106">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（二）不设招标控制</w:t>
      </w:r>
      <w:r>
        <w:rPr>
          <w:rFonts w:hint="eastAsia" w:ascii="仿宋" w:hAnsi="仿宋" w:eastAsia="仿宋" w:cs="仿宋"/>
          <w:color w:val="auto"/>
          <w:sz w:val="24"/>
          <w:szCs w:val="24"/>
          <w:highlight w:val="none"/>
          <w:lang w:val="en-US" w:eastAsia="zh-CN"/>
        </w:rPr>
        <w:t>费率</w:t>
      </w:r>
      <w:r>
        <w:rPr>
          <w:rFonts w:hint="eastAsia" w:ascii="仿宋" w:hAnsi="仿宋" w:eastAsia="仿宋" w:cs="仿宋"/>
          <w:color w:val="auto"/>
          <w:sz w:val="24"/>
          <w:szCs w:val="24"/>
          <w:highlight w:val="none"/>
        </w:rPr>
        <w:t>（最高投标限价）的，投标报价明显低于其他投标报价，有可能低于其企业成本的。</w:t>
      </w:r>
    </w:p>
    <w:p w14:paraId="2557026F">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28.</w:t>
      </w:r>
      <w:r>
        <w:rPr>
          <w:rFonts w:hint="eastAsia" w:ascii="仿宋" w:hAnsi="仿宋" w:eastAsia="仿宋" w:cs="仿宋"/>
          <w:b/>
          <w:color w:val="auto"/>
          <w:sz w:val="24"/>
          <w:szCs w:val="24"/>
          <w:highlight w:val="none"/>
        </w:rPr>
        <w:t>投标文件的评审程序</w:t>
      </w:r>
    </w:p>
    <w:p w14:paraId="169FA928">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bCs/>
          <w:color w:val="auto"/>
          <w:sz w:val="24"/>
          <w:szCs w:val="24"/>
          <w:highlight w:val="none"/>
        </w:rPr>
        <w:t>28.1</w:t>
      </w:r>
      <w:r>
        <w:rPr>
          <w:rFonts w:hint="eastAsia" w:ascii="仿宋" w:hAnsi="仿宋" w:eastAsia="仿宋" w:cs="仿宋"/>
          <w:color w:val="auto"/>
          <w:sz w:val="24"/>
          <w:szCs w:val="24"/>
          <w:highlight w:val="none"/>
        </w:rPr>
        <w:t>评标委员会应当根据招标文件有关规定，审查并逐项列出投标文件的全部投标偏差。投标偏差分重大偏差和细微偏差。</w:t>
      </w:r>
    </w:p>
    <w:p w14:paraId="24BDE6E2">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.2投标偏差的界定和评审</w:t>
      </w:r>
    </w:p>
    <w:p w14:paraId="5D1685D7">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.2.1重大偏差的认定，投标文件有下列情形之一的，属于重大偏差，由评标委员会评审后按废标处理：</w:t>
      </w:r>
    </w:p>
    <w:p w14:paraId="310AC931">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.2.1.1未按招标文件中要求提供相关资格审查材料或提供的材料不符合要求的。</w:t>
      </w:r>
    </w:p>
    <w:p w14:paraId="0311DAAC">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.2.1.2投标文件封面、投标函、报价表未在相应位置加盖投标人的企业印章、企业法定代表人或其授权的委托代理人签字或盖章的。企业法定代表人授权的委托代理人没有合法、有效的委托书。</w:t>
      </w:r>
    </w:p>
    <w:p w14:paraId="0053DA93">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.2.1.3未按规定的格式填写，实质性内容不全或关键字迹模糊、无法辨认的。</w:t>
      </w:r>
    </w:p>
    <w:p w14:paraId="34952CFC">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.2.1.4投标人递交两份或多份内容不同的投标文件，或在一份投标文件中对同一招标项目有两个或多个报价，且未声明哪一个有效的。按招标文件规定提交备选投标方案的除外。</w:t>
      </w:r>
    </w:p>
    <w:p w14:paraId="55409C70">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.2.1.5 投标文件明显不符合招标文件规定的报价、设计周期、质量标准（若有）、售后服务年限或</w:t>
      </w:r>
      <w:r>
        <w:rPr>
          <w:rFonts w:hint="eastAsia" w:ascii="仿宋" w:hAnsi="仿宋" w:eastAsia="仿宋" w:cs="仿宋"/>
          <w:bCs/>
          <w:color w:val="auto"/>
          <w:sz w:val="24"/>
          <w:szCs w:val="24"/>
          <w:highlight w:val="none"/>
          <w:lang w:eastAsia="zh-CN"/>
        </w:rPr>
        <w:t>其他</w:t>
      </w:r>
      <w:r>
        <w:rPr>
          <w:rFonts w:hint="eastAsia" w:ascii="仿宋" w:hAnsi="仿宋" w:eastAsia="仿宋" w:cs="仿宋"/>
          <w:bCs/>
          <w:color w:val="auto"/>
          <w:sz w:val="24"/>
          <w:szCs w:val="24"/>
          <w:highlight w:val="none"/>
        </w:rPr>
        <w:t>实质性要求。</w:t>
      </w:r>
    </w:p>
    <w:p w14:paraId="246CA7EE">
      <w:pPr>
        <w:pStyle w:val="20"/>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28.2.1.6未按招标文件要求提交投标保证金的。</w:t>
      </w:r>
    </w:p>
    <w:p w14:paraId="68C2CC50">
      <w:pPr>
        <w:pStyle w:val="20"/>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28.2.1.7投标文件商务标的投标报价表未按要求加盖印章的，实行网上开评标的投标文件中电子清单文件无法读取或不符合规定格式，经评标委员会认定属于重大偏差的。</w:t>
      </w:r>
    </w:p>
    <w:p w14:paraId="00FAE2AF">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sz w:val="24"/>
          <w:szCs w:val="24"/>
          <w:highlight w:val="none"/>
        </w:rPr>
        <w:t>28</w:t>
      </w:r>
      <w:r>
        <w:rPr>
          <w:rFonts w:hint="eastAsia" w:ascii="仿宋" w:hAnsi="仿宋" w:eastAsia="仿宋" w:cs="仿宋"/>
          <w:bCs/>
          <w:color w:val="auto"/>
          <w:sz w:val="24"/>
          <w:szCs w:val="24"/>
          <w:highlight w:val="none"/>
        </w:rPr>
        <w:t>.2.1.8投标文件中的其它重大偏差（包括缺项，漏项）：</w:t>
      </w:r>
    </w:p>
    <w:p w14:paraId="044709A8">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①投标文件中填报的报价书中的格式、内容与招标人提供给投标人报价格式、内容不一致，以致影响评标结果的。</w:t>
      </w:r>
    </w:p>
    <w:p w14:paraId="598E381E">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②投标报价高于</w:t>
      </w:r>
      <w:r>
        <w:rPr>
          <w:rFonts w:hint="eastAsia" w:ascii="仿宋" w:hAnsi="仿宋" w:eastAsia="仿宋" w:cs="仿宋"/>
          <w:color w:val="auto"/>
          <w:sz w:val="24"/>
          <w:szCs w:val="24"/>
          <w:highlight w:val="none"/>
        </w:rPr>
        <w:t>招标控制</w:t>
      </w:r>
      <w:r>
        <w:rPr>
          <w:rFonts w:hint="eastAsia" w:ascii="仿宋" w:hAnsi="仿宋" w:eastAsia="仿宋" w:cs="仿宋"/>
          <w:color w:val="auto"/>
          <w:sz w:val="24"/>
          <w:szCs w:val="24"/>
          <w:highlight w:val="none"/>
          <w:lang w:val="en-US" w:eastAsia="zh-CN"/>
        </w:rPr>
        <w:t>费率</w:t>
      </w:r>
      <w:r>
        <w:rPr>
          <w:rFonts w:hint="eastAsia" w:ascii="仿宋" w:hAnsi="仿宋" w:eastAsia="仿宋" w:cs="仿宋"/>
          <w:color w:val="auto"/>
          <w:sz w:val="24"/>
          <w:szCs w:val="24"/>
          <w:highlight w:val="none"/>
        </w:rPr>
        <w:t>（最高投标限价）</w:t>
      </w:r>
      <w:r>
        <w:rPr>
          <w:rFonts w:hint="eastAsia" w:ascii="仿宋" w:hAnsi="仿宋" w:eastAsia="仿宋" w:cs="仿宋"/>
          <w:bCs/>
          <w:color w:val="auto"/>
          <w:sz w:val="24"/>
          <w:szCs w:val="24"/>
          <w:highlight w:val="none"/>
        </w:rPr>
        <w:t>的。</w:t>
      </w:r>
    </w:p>
    <w:p w14:paraId="03A386EF">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③投标人拒不按照要求对投标文件进行澄清、说明、补正的，或评标委员根据招标文件的规定对投标文件的计算错误进行修正后，投标人不接受修正后的投标报价的。</w:t>
      </w:r>
    </w:p>
    <w:p w14:paraId="5D0F552D">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④法律、法规规定的其它情形。</w:t>
      </w:r>
    </w:p>
    <w:p w14:paraId="4ABFDC4D">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27.2.1.</w:t>
      </w:r>
      <w:bookmarkStart w:id="40" w:name="OLE_LINK11"/>
      <w:r>
        <w:rPr>
          <w:rFonts w:hint="eastAsia" w:ascii="仿宋" w:hAnsi="仿宋" w:eastAsia="仿宋" w:cs="仿宋"/>
          <w:bCs/>
          <w:color w:val="auto"/>
          <w:sz w:val="24"/>
          <w:szCs w:val="24"/>
          <w:highlight w:val="none"/>
        </w:rPr>
        <w:t>9技术标文件或商务标文件经评审委员会评审不合格的</w:t>
      </w:r>
      <w:bookmarkEnd w:id="40"/>
      <w:r>
        <w:rPr>
          <w:rFonts w:hint="eastAsia" w:ascii="仿宋" w:hAnsi="仿宋" w:eastAsia="仿宋" w:cs="仿宋"/>
          <w:bCs/>
          <w:color w:val="auto"/>
          <w:sz w:val="24"/>
          <w:szCs w:val="24"/>
          <w:highlight w:val="none"/>
        </w:rPr>
        <w:t>；</w:t>
      </w:r>
    </w:p>
    <w:p w14:paraId="37E5290D">
      <w:pPr>
        <w:pStyle w:val="128"/>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27.2.1.10法律、法规规定的其它情形。</w:t>
      </w:r>
    </w:p>
    <w:p w14:paraId="0AA39FFA">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28.3细微偏差的认定：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0B730475">
      <w:pPr>
        <w:pStyle w:val="20"/>
        <w:spacing w:line="480" w:lineRule="exact"/>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28.4投标文件的澄清：投标文件需澄清、说明或者补正的（包括补正投标报价）以及投标文件存在细微偏差需要补正的，评标委员会应当以书面形式要求投标人进行书面澄清、说明、补正或确认，细微偏差的修正将由评委进行评审，其投标人的法定代表人或其委托代理人应签字或在线签章认可。</w:t>
      </w:r>
    </w:p>
    <w:p w14:paraId="4111E785">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28.5如果投标文件实质上不响应招标文件的各项要求，评标委员会将予以拒绝，并且不允许投标人通过修改或撤销其不符合要求的差异或保留，使之成为具有响应性的投标。</w:t>
      </w:r>
    </w:p>
    <w:p w14:paraId="6E52FC67">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28.6经审查符合招标文件要求的有效投标文件，由评标委员会进行详细评审、比较。</w:t>
      </w:r>
    </w:p>
    <w:p w14:paraId="01EF5949">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28.7评委对界定为细微偏差的应做相应调整，投标人应现场书面接受调整内容或在线签章认可。</w:t>
      </w:r>
    </w:p>
    <w:p w14:paraId="6A5361D0">
      <w:pPr>
        <w:pStyle w:val="128"/>
        <w:spacing w:line="360"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29.</w:t>
      </w:r>
      <w:r>
        <w:rPr>
          <w:rFonts w:hint="eastAsia" w:ascii="仿宋" w:hAnsi="仿宋" w:eastAsia="仿宋" w:cs="仿宋"/>
          <w:b/>
          <w:bCs/>
          <w:color w:val="auto"/>
          <w:sz w:val="24"/>
          <w:szCs w:val="24"/>
          <w:highlight w:val="none"/>
        </w:rPr>
        <w:t>投标文件计算错误的修正</w:t>
      </w:r>
    </w:p>
    <w:p w14:paraId="7748C04D">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29.1评审委员会将对确定为实质上响应招标文件要求的投标文件进行校核，看其是否有表达上的细微偏差，细微偏差的修正原则如下：</w:t>
      </w:r>
    </w:p>
    <w:p w14:paraId="1680325A">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29.1.1投标文件中填写的项目名称、项目地点有误时，以工程的实际内容为准。</w:t>
      </w:r>
    </w:p>
    <w:p w14:paraId="4C6FA1AC">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按上述修正错误的原则及方法调整或修正投标文件，投标人同意后，调整后的内容对投标人起约束作用。如果投标人不接受修正后的，则其投标将被拒绝。</w:t>
      </w:r>
    </w:p>
    <w:p w14:paraId="46B21C52">
      <w:pPr>
        <w:pStyle w:val="20"/>
        <w:adjustRightInd/>
        <w:spacing w:before="48" w:after="48" w:line="360" w:lineRule="auto"/>
        <w:ind w:firstLine="482" w:firstLineChars="200"/>
        <w:textAlignment w:val="auto"/>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30.</w:t>
      </w:r>
      <w:r>
        <w:rPr>
          <w:rFonts w:hint="eastAsia" w:ascii="仿宋" w:hAnsi="仿宋" w:eastAsia="仿宋" w:cs="仿宋"/>
          <w:b/>
          <w:bCs/>
          <w:color w:val="auto"/>
          <w:sz w:val="24"/>
          <w:szCs w:val="24"/>
          <w:highlight w:val="none"/>
        </w:rPr>
        <w:t>投标人的最终投标报价</w:t>
      </w:r>
    </w:p>
    <w:p w14:paraId="1AF14815">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按照本招标文件的规定进行澄清、补正后的投标报价经投标人的法定代表人或其委托代理人确认后即为该投标人的最终投标报价。投标人一旦中标，此报价即为中标价。</w:t>
      </w:r>
    </w:p>
    <w:p w14:paraId="5AC8FF90">
      <w:pPr>
        <w:pStyle w:val="11"/>
        <w:tabs>
          <w:tab w:val="left" w:pos="1000"/>
        </w:tabs>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31.</w:t>
      </w:r>
      <w:r>
        <w:rPr>
          <w:rFonts w:hint="eastAsia" w:ascii="仿宋" w:hAnsi="仿宋" w:eastAsia="仿宋" w:cs="仿宋"/>
          <w:b/>
          <w:color w:val="auto"/>
          <w:sz w:val="24"/>
          <w:szCs w:val="24"/>
          <w:highlight w:val="none"/>
        </w:rPr>
        <w:t>投标文件的评审、比较和否决</w:t>
      </w:r>
    </w:p>
    <w:p w14:paraId="5577416D">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31.1评标委员会将按照本须知第28条规定，仅对在实质上响应招标文件要求的投标文件进行评估和比较。</w:t>
      </w:r>
    </w:p>
    <w:p w14:paraId="3B0860A5">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31.2 在评审过程中,评标委员会可以书面形式要求投标人就投标文件中含义不明确的内容进行书面说明并提供相关材料。</w:t>
      </w:r>
    </w:p>
    <w:p w14:paraId="5BAF8443">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31.3评标委员会依据招标文件规定的评标标准和方法，对合格投标文件分别进行评审和比较，提出书面评标报告并推荐的中标候选人。</w:t>
      </w:r>
    </w:p>
    <w:p w14:paraId="3F216D88">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31.4招标人根据评标委员会提出的书面评标报告和推荐的中标候选人，依据国家和地方现行法规确定中标人。</w:t>
      </w:r>
    </w:p>
    <w:p w14:paraId="1DF2DDFE">
      <w:pPr>
        <w:pStyle w:val="128"/>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31.5评标委员会经评审，认为所有投标都不符合招标文件要求的，可以否决所有投标。所有投标被否决后，招标人应当依法重新招标。</w:t>
      </w:r>
    </w:p>
    <w:p w14:paraId="40696A1E">
      <w:pPr>
        <w:spacing w:line="360" w:lineRule="auto"/>
        <w:jc w:val="center"/>
        <w:textAlignment w:val="auto"/>
        <w:rPr>
          <w:rFonts w:ascii="仿宋" w:hAnsi="仿宋" w:eastAsia="仿宋" w:cs="仿宋"/>
          <w:b/>
          <w:color w:val="auto"/>
          <w:kern w:val="2"/>
          <w:sz w:val="24"/>
          <w:szCs w:val="24"/>
          <w:highlight w:val="none"/>
        </w:rPr>
      </w:pPr>
    </w:p>
    <w:p w14:paraId="6E2A4BC7">
      <w:pPr>
        <w:spacing w:line="360" w:lineRule="auto"/>
        <w:jc w:val="center"/>
        <w:textAlignment w:val="auto"/>
        <w:rPr>
          <w:rFonts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（七）合同授予</w:t>
      </w:r>
    </w:p>
    <w:p w14:paraId="73BA3D59">
      <w:pPr>
        <w:pStyle w:val="6"/>
        <w:keepNext w:val="0"/>
        <w:keepLines w:val="0"/>
        <w:adjustRightInd/>
        <w:spacing w:before="0" w:after="0" w:line="360" w:lineRule="auto"/>
        <w:ind w:firstLine="482"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32.</w:t>
      </w:r>
      <w:r>
        <w:rPr>
          <w:rFonts w:hint="eastAsia" w:ascii="仿宋" w:hAnsi="仿宋" w:eastAsia="仿宋" w:cs="仿宋"/>
          <w:color w:val="auto"/>
          <w:sz w:val="24"/>
          <w:szCs w:val="24"/>
          <w:highlight w:val="none"/>
        </w:rPr>
        <w:t>合同授予标准</w:t>
      </w:r>
    </w:p>
    <w:p w14:paraId="3877BA19">
      <w:pPr>
        <w:pStyle w:val="6"/>
        <w:keepNext w:val="0"/>
        <w:keepLines w:val="0"/>
        <w:adjustRightInd/>
        <w:spacing w:before="0" w:after="0" w:line="360" w:lineRule="auto"/>
        <w:ind w:firstLine="480" w:firstLineChars="200"/>
        <w:rPr>
          <w:rFonts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本招标工程的设计合同将授予中标人。</w:t>
      </w:r>
    </w:p>
    <w:p w14:paraId="4F7623AD">
      <w:pPr>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33.</w:t>
      </w:r>
      <w:r>
        <w:rPr>
          <w:rFonts w:hint="eastAsia" w:ascii="仿宋" w:hAnsi="仿宋" w:eastAsia="仿宋" w:cs="仿宋"/>
          <w:b/>
          <w:color w:val="auto"/>
          <w:sz w:val="24"/>
          <w:szCs w:val="24"/>
          <w:highlight w:val="none"/>
        </w:rPr>
        <w:t>招标人拒绝投标的权力</w:t>
      </w:r>
    </w:p>
    <w:p w14:paraId="0788F68D">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招标人不承诺将合同授予报价最低的投标人。招标人在发出中标通知书前，有权依据评标委员会的评标报告拒绝不合格的投标。</w:t>
      </w:r>
    </w:p>
    <w:p w14:paraId="0D6DC903">
      <w:pPr>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34.</w:t>
      </w:r>
      <w:r>
        <w:rPr>
          <w:rFonts w:hint="eastAsia" w:ascii="仿宋" w:hAnsi="仿宋" w:eastAsia="仿宋" w:cs="仿宋"/>
          <w:b/>
          <w:color w:val="auto"/>
          <w:sz w:val="24"/>
          <w:szCs w:val="24"/>
          <w:highlight w:val="none"/>
        </w:rPr>
        <w:t>中标通知书</w:t>
      </w:r>
    </w:p>
    <w:p w14:paraId="4CA71A1F">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highlight w:val="none"/>
        </w:rPr>
        <w:t>招标人将在发出中标通知书的同时,将中标结果通知所有未中标的投标人。</w:t>
      </w:r>
      <w:r>
        <w:rPr>
          <w:rFonts w:hint="eastAsia" w:ascii="仿宋" w:hAnsi="仿宋" w:eastAsia="仿宋" w:cs="仿宋"/>
          <w:b/>
          <w:bCs/>
          <w:color w:val="auto"/>
          <w:sz w:val="24"/>
          <w:highlight w:val="none"/>
        </w:rPr>
        <w:t>公开招标的项目将在招标公告发布的同一网站上以中标公告的形式通知；邀请招标的项目将以传真或电子邮件等方式通知，投标人收到后，应以传真或电邮等的方式确认签收</w:t>
      </w:r>
      <w:r>
        <w:rPr>
          <w:rFonts w:hint="eastAsia" w:ascii="仿宋" w:hAnsi="仿宋" w:eastAsia="仿宋" w:cs="仿宋"/>
          <w:color w:val="auto"/>
          <w:sz w:val="24"/>
          <w:highlight w:val="none"/>
        </w:rPr>
        <w:t>。</w:t>
      </w:r>
    </w:p>
    <w:p w14:paraId="2FB3D8F9">
      <w:pPr>
        <w:adjustRightInd/>
        <w:spacing w:line="360" w:lineRule="auto"/>
        <w:ind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35.</w:t>
      </w:r>
      <w:r>
        <w:rPr>
          <w:rFonts w:hint="eastAsia" w:ascii="仿宋" w:hAnsi="仿宋" w:eastAsia="仿宋" w:cs="仿宋"/>
          <w:b/>
          <w:color w:val="auto"/>
          <w:sz w:val="24"/>
          <w:szCs w:val="24"/>
          <w:highlight w:val="none"/>
        </w:rPr>
        <w:t>合同协议书的签订</w:t>
      </w:r>
    </w:p>
    <w:p w14:paraId="2A45D976">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35.1 招标人与中标人将于中标通知书发出之日起30日内，按照招标文件和中标人的投标文件订立书面工程设计合同，招标人和中标人不得再行订立背离合同实质性内容的其他协议。</w:t>
      </w:r>
    </w:p>
    <w:p w14:paraId="031069DD">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35.2</w:t>
      </w:r>
      <w:r>
        <w:rPr>
          <w:rFonts w:hint="eastAsia" w:ascii="仿宋" w:hAnsi="仿宋" w:eastAsia="仿宋" w:cs="仿宋"/>
          <w:color w:val="auto"/>
          <w:sz w:val="24"/>
          <w:highlight w:val="none"/>
        </w:rPr>
        <w:t>中标人如不按本招标文件规定与招标人订立合同，招标人将取消其中标资格，投标担保不予退还，给招标人造成的损失超过投标担保数额的，还应当对超过部分予以赔偿，同时依法承担相应法律责任。</w:t>
      </w:r>
    </w:p>
    <w:p w14:paraId="1547417E">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35.3中标人应当按照合同约定履行义务，完成中标项目设计，不得将中标项目设计转让（转包）给他人。</w:t>
      </w:r>
    </w:p>
    <w:p w14:paraId="1F193C24">
      <w:pPr>
        <w:pStyle w:val="6"/>
        <w:keepNext w:val="0"/>
        <w:keepLines w:val="0"/>
        <w:adjustRightInd/>
        <w:spacing w:before="0" w:after="0" w:line="360" w:lineRule="auto"/>
        <w:ind w:firstLine="482"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36.</w:t>
      </w:r>
      <w:r>
        <w:rPr>
          <w:rFonts w:hint="eastAsia" w:ascii="仿宋" w:hAnsi="仿宋" w:eastAsia="仿宋" w:cs="仿宋"/>
          <w:color w:val="auto"/>
          <w:sz w:val="24"/>
          <w:szCs w:val="24"/>
          <w:highlight w:val="none"/>
        </w:rPr>
        <w:t>履约担保</w:t>
      </w:r>
    </w:p>
    <w:p w14:paraId="0E6B9A59">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36.1</w:t>
      </w:r>
      <w:r>
        <w:rPr>
          <w:rFonts w:hint="eastAsia" w:ascii="仿宋" w:hAnsi="仿宋" w:eastAsia="仿宋" w:cs="仿宋"/>
          <w:color w:val="auto"/>
          <w:sz w:val="24"/>
          <w:highlight w:val="none"/>
        </w:rPr>
        <w:t>合同协议书签署的同时，中标人应按须知前附表规定的金额向招标人提交履约担保。</w:t>
      </w:r>
    </w:p>
    <w:p w14:paraId="105C0002">
      <w:pPr>
        <w:adjustRightInd/>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36.2</w:t>
      </w:r>
      <w:r>
        <w:rPr>
          <w:rFonts w:hint="eastAsia" w:ascii="仿宋" w:hAnsi="仿宋" w:eastAsia="仿宋" w:cs="仿宋"/>
          <w:color w:val="auto"/>
          <w:sz w:val="24"/>
          <w:highlight w:val="none"/>
        </w:rPr>
        <w:t>若中标人不能按投标须知中相关规定执行，招标人将有权解除合同，并没收其投标保证金，给招标人造成的损失超过投标担保数额的，还应当对超过部分予以赔偿</w:t>
      </w:r>
      <w:r>
        <w:rPr>
          <w:rFonts w:hint="eastAsia" w:ascii="仿宋" w:hAnsi="仿宋" w:eastAsia="仿宋" w:cs="仿宋"/>
          <w:color w:val="auto"/>
          <w:sz w:val="24"/>
          <w:szCs w:val="24"/>
          <w:highlight w:val="none"/>
        </w:rPr>
        <w:t>。</w:t>
      </w:r>
    </w:p>
    <w:p w14:paraId="0C9F2194">
      <w:pPr>
        <w:pStyle w:val="6"/>
        <w:keepNext w:val="0"/>
        <w:keepLines w:val="0"/>
        <w:adjustRightInd/>
        <w:spacing w:before="0" w:after="0" w:line="360" w:lineRule="auto"/>
        <w:ind w:firstLine="482"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设计补偿费：</w:t>
      </w:r>
      <w:r>
        <w:rPr>
          <w:rFonts w:hint="eastAsia" w:ascii="仿宋" w:hAnsi="仿宋" w:eastAsia="仿宋" w:cs="仿宋"/>
          <w:b w:val="0"/>
          <w:bCs w:val="0"/>
          <w:color w:val="auto"/>
          <w:sz w:val="24"/>
          <w:szCs w:val="24"/>
          <w:highlight w:val="none"/>
        </w:rPr>
        <w:t>无论是否中标，本项目投标人均不给予设计补偿费。</w:t>
      </w:r>
    </w:p>
    <w:bookmarkEnd w:id="39"/>
    <w:p w14:paraId="269C61D9">
      <w:pPr>
        <w:spacing w:line="360" w:lineRule="auto"/>
        <w:jc w:val="center"/>
        <w:textAlignment w:val="auto"/>
        <w:rPr>
          <w:rFonts w:ascii="仿宋" w:hAnsi="仿宋" w:eastAsia="仿宋" w:cs="仿宋"/>
          <w:b/>
          <w:color w:val="auto"/>
          <w:kern w:val="2"/>
          <w:sz w:val="24"/>
          <w:szCs w:val="24"/>
          <w:highlight w:val="none"/>
        </w:rPr>
      </w:pPr>
    </w:p>
    <w:p w14:paraId="5C15236F">
      <w:pPr>
        <w:adjustRightInd/>
        <w:spacing w:line="360" w:lineRule="auto"/>
        <w:jc w:val="center"/>
        <w:rPr>
          <w:rFonts w:ascii="仿宋" w:hAnsi="仿宋" w:eastAsia="仿宋" w:cs="仿宋"/>
          <w:b/>
          <w:color w:val="auto"/>
          <w:kern w:val="2"/>
          <w:sz w:val="30"/>
          <w:szCs w:val="30"/>
          <w:highlight w:val="none"/>
        </w:rPr>
      </w:pPr>
      <w:bookmarkStart w:id="41" w:name="_Toc3920"/>
      <w:bookmarkStart w:id="42" w:name="_Toc25055_WPSOffice_Level1"/>
    </w:p>
    <w:p w14:paraId="0CB3A7FC">
      <w:pPr>
        <w:adjustRightInd/>
        <w:spacing w:line="360" w:lineRule="auto"/>
        <w:jc w:val="center"/>
        <w:rPr>
          <w:rFonts w:ascii="仿宋" w:hAnsi="仿宋" w:eastAsia="仿宋" w:cs="仿宋"/>
          <w:b/>
          <w:color w:val="auto"/>
          <w:kern w:val="2"/>
          <w:sz w:val="30"/>
          <w:szCs w:val="30"/>
          <w:highlight w:val="none"/>
        </w:rPr>
      </w:pPr>
    </w:p>
    <w:p w14:paraId="1648E91D">
      <w:pPr>
        <w:adjustRightInd/>
        <w:spacing w:line="360" w:lineRule="auto"/>
        <w:jc w:val="center"/>
        <w:rPr>
          <w:rFonts w:ascii="仿宋" w:hAnsi="仿宋" w:eastAsia="仿宋" w:cs="仿宋"/>
          <w:b/>
          <w:color w:val="auto"/>
          <w:kern w:val="2"/>
          <w:sz w:val="30"/>
          <w:szCs w:val="30"/>
          <w:highlight w:val="none"/>
        </w:rPr>
      </w:pPr>
    </w:p>
    <w:p w14:paraId="7A225370">
      <w:pPr>
        <w:adjustRightInd/>
        <w:spacing w:line="360" w:lineRule="auto"/>
        <w:jc w:val="center"/>
        <w:rPr>
          <w:rFonts w:ascii="仿宋" w:hAnsi="仿宋" w:eastAsia="仿宋" w:cs="仿宋"/>
          <w:b/>
          <w:color w:val="auto"/>
          <w:kern w:val="2"/>
          <w:sz w:val="30"/>
          <w:szCs w:val="30"/>
          <w:highlight w:val="none"/>
        </w:rPr>
      </w:pPr>
    </w:p>
    <w:p w14:paraId="45287907">
      <w:pPr>
        <w:adjustRightInd/>
        <w:spacing w:line="360" w:lineRule="auto"/>
        <w:jc w:val="center"/>
        <w:rPr>
          <w:rFonts w:ascii="仿宋" w:hAnsi="仿宋" w:eastAsia="仿宋" w:cs="仿宋"/>
          <w:b/>
          <w:color w:val="auto"/>
          <w:kern w:val="2"/>
          <w:sz w:val="30"/>
          <w:szCs w:val="30"/>
          <w:highlight w:val="none"/>
        </w:rPr>
      </w:pPr>
    </w:p>
    <w:p w14:paraId="71E0A9DA">
      <w:pPr>
        <w:adjustRightInd/>
        <w:spacing w:line="360" w:lineRule="auto"/>
        <w:jc w:val="center"/>
        <w:rPr>
          <w:rFonts w:ascii="仿宋" w:hAnsi="仿宋" w:eastAsia="仿宋" w:cs="仿宋"/>
          <w:b/>
          <w:color w:val="auto"/>
          <w:kern w:val="2"/>
          <w:sz w:val="30"/>
          <w:szCs w:val="30"/>
          <w:highlight w:val="none"/>
        </w:rPr>
      </w:pPr>
    </w:p>
    <w:p w14:paraId="6F24C025">
      <w:pPr>
        <w:adjustRightInd/>
        <w:spacing w:line="360" w:lineRule="auto"/>
        <w:jc w:val="center"/>
        <w:rPr>
          <w:rFonts w:ascii="仿宋" w:hAnsi="仿宋" w:eastAsia="仿宋" w:cs="仿宋"/>
          <w:b/>
          <w:color w:val="auto"/>
          <w:kern w:val="2"/>
          <w:sz w:val="30"/>
          <w:szCs w:val="30"/>
          <w:highlight w:val="none"/>
        </w:rPr>
      </w:pPr>
    </w:p>
    <w:p w14:paraId="2082D71D">
      <w:pPr>
        <w:adjustRightInd/>
        <w:spacing w:line="360" w:lineRule="auto"/>
        <w:jc w:val="center"/>
        <w:rPr>
          <w:rFonts w:ascii="仿宋" w:hAnsi="仿宋" w:eastAsia="仿宋" w:cs="仿宋"/>
          <w:b/>
          <w:color w:val="auto"/>
          <w:kern w:val="2"/>
          <w:sz w:val="30"/>
          <w:szCs w:val="30"/>
          <w:highlight w:val="none"/>
        </w:rPr>
      </w:pPr>
    </w:p>
    <w:p w14:paraId="2606779C">
      <w:pPr>
        <w:adjustRightInd/>
        <w:spacing w:line="360" w:lineRule="auto"/>
        <w:jc w:val="center"/>
        <w:rPr>
          <w:rFonts w:ascii="仿宋" w:hAnsi="仿宋" w:eastAsia="仿宋" w:cs="仿宋"/>
          <w:b/>
          <w:color w:val="auto"/>
          <w:kern w:val="2"/>
          <w:sz w:val="30"/>
          <w:szCs w:val="30"/>
          <w:highlight w:val="none"/>
        </w:rPr>
      </w:pPr>
    </w:p>
    <w:p w14:paraId="0879BC33">
      <w:pPr>
        <w:pStyle w:val="51"/>
        <w:ind w:firstLine="602"/>
        <w:rPr>
          <w:rFonts w:hint="default" w:ascii="仿宋" w:hAnsi="仿宋" w:eastAsia="仿宋" w:cs="仿宋"/>
          <w:b/>
          <w:color w:val="auto"/>
          <w:kern w:val="2"/>
          <w:sz w:val="30"/>
          <w:szCs w:val="30"/>
          <w:highlight w:val="none"/>
        </w:rPr>
      </w:pPr>
    </w:p>
    <w:p w14:paraId="2C2FB4ED">
      <w:pPr>
        <w:pStyle w:val="51"/>
        <w:ind w:firstLine="602"/>
        <w:rPr>
          <w:rFonts w:hint="default" w:ascii="仿宋" w:hAnsi="仿宋" w:eastAsia="仿宋" w:cs="仿宋"/>
          <w:b/>
          <w:color w:val="auto"/>
          <w:kern w:val="2"/>
          <w:sz w:val="30"/>
          <w:szCs w:val="30"/>
          <w:highlight w:val="none"/>
        </w:rPr>
      </w:pPr>
    </w:p>
    <w:p w14:paraId="43F2AF51">
      <w:pPr>
        <w:pStyle w:val="51"/>
        <w:ind w:firstLine="602"/>
        <w:rPr>
          <w:rFonts w:hint="default" w:ascii="仿宋" w:hAnsi="仿宋" w:eastAsia="仿宋" w:cs="仿宋"/>
          <w:b/>
          <w:color w:val="auto"/>
          <w:kern w:val="2"/>
          <w:sz w:val="30"/>
          <w:szCs w:val="30"/>
          <w:highlight w:val="none"/>
        </w:rPr>
      </w:pPr>
    </w:p>
    <w:p w14:paraId="17AED6A3">
      <w:pPr>
        <w:pStyle w:val="51"/>
        <w:ind w:firstLine="602"/>
        <w:rPr>
          <w:rFonts w:hint="default" w:ascii="仿宋" w:hAnsi="仿宋" w:eastAsia="仿宋" w:cs="仿宋"/>
          <w:b/>
          <w:color w:val="auto"/>
          <w:kern w:val="2"/>
          <w:sz w:val="30"/>
          <w:szCs w:val="30"/>
          <w:highlight w:val="none"/>
        </w:rPr>
      </w:pPr>
    </w:p>
    <w:p w14:paraId="643E48A5">
      <w:pPr>
        <w:pStyle w:val="51"/>
        <w:ind w:firstLine="602"/>
        <w:rPr>
          <w:rFonts w:hint="default" w:ascii="仿宋" w:hAnsi="仿宋" w:eastAsia="仿宋" w:cs="仿宋"/>
          <w:b/>
          <w:color w:val="auto"/>
          <w:kern w:val="2"/>
          <w:sz w:val="30"/>
          <w:szCs w:val="30"/>
          <w:highlight w:val="none"/>
        </w:rPr>
      </w:pPr>
    </w:p>
    <w:p w14:paraId="56F8F5B7">
      <w:pPr>
        <w:pStyle w:val="51"/>
        <w:ind w:firstLine="602"/>
        <w:rPr>
          <w:rFonts w:hint="default" w:ascii="仿宋" w:hAnsi="仿宋" w:eastAsia="仿宋" w:cs="仿宋"/>
          <w:b/>
          <w:color w:val="auto"/>
          <w:kern w:val="2"/>
          <w:sz w:val="30"/>
          <w:szCs w:val="30"/>
          <w:highlight w:val="none"/>
        </w:rPr>
      </w:pPr>
    </w:p>
    <w:p w14:paraId="7B4145E9">
      <w:pPr>
        <w:pStyle w:val="51"/>
        <w:ind w:firstLine="602"/>
        <w:rPr>
          <w:rFonts w:hint="default" w:ascii="仿宋" w:hAnsi="仿宋" w:eastAsia="仿宋" w:cs="仿宋"/>
          <w:b/>
          <w:color w:val="auto"/>
          <w:kern w:val="2"/>
          <w:sz w:val="30"/>
          <w:szCs w:val="30"/>
          <w:highlight w:val="none"/>
        </w:rPr>
      </w:pPr>
    </w:p>
    <w:p w14:paraId="39F4B78C">
      <w:pPr>
        <w:pStyle w:val="51"/>
        <w:ind w:firstLine="602"/>
        <w:rPr>
          <w:rFonts w:hint="default" w:ascii="仿宋" w:hAnsi="仿宋" w:eastAsia="仿宋" w:cs="仿宋"/>
          <w:b/>
          <w:color w:val="auto"/>
          <w:kern w:val="2"/>
          <w:sz w:val="30"/>
          <w:szCs w:val="30"/>
          <w:highlight w:val="none"/>
        </w:rPr>
      </w:pPr>
    </w:p>
    <w:p w14:paraId="752A3D7A">
      <w:pPr>
        <w:pStyle w:val="51"/>
        <w:ind w:firstLine="602"/>
        <w:rPr>
          <w:rFonts w:hint="default" w:ascii="仿宋" w:hAnsi="仿宋" w:eastAsia="仿宋" w:cs="仿宋"/>
          <w:b/>
          <w:color w:val="auto"/>
          <w:kern w:val="2"/>
          <w:sz w:val="30"/>
          <w:szCs w:val="30"/>
          <w:highlight w:val="none"/>
        </w:rPr>
      </w:pPr>
    </w:p>
    <w:p w14:paraId="10052663">
      <w:pPr>
        <w:pStyle w:val="13"/>
        <w:rPr>
          <w:color w:val="auto"/>
          <w:highlight w:val="none"/>
        </w:rPr>
      </w:pPr>
    </w:p>
    <w:p w14:paraId="0323D4C3">
      <w:pPr>
        <w:adjustRightInd/>
        <w:spacing w:line="360" w:lineRule="auto"/>
        <w:jc w:val="center"/>
        <w:rPr>
          <w:rFonts w:ascii="仿宋" w:hAnsi="仿宋" w:eastAsia="仿宋" w:cs="仿宋"/>
          <w:b/>
          <w:color w:val="auto"/>
          <w:kern w:val="2"/>
          <w:sz w:val="30"/>
          <w:szCs w:val="30"/>
          <w:highlight w:val="none"/>
        </w:rPr>
      </w:pPr>
      <w:r>
        <w:rPr>
          <w:rFonts w:hint="eastAsia" w:ascii="仿宋" w:hAnsi="仿宋" w:eastAsia="仿宋" w:cs="仿宋"/>
          <w:b/>
          <w:color w:val="auto"/>
          <w:kern w:val="2"/>
          <w:sz w:val="30"/>
          <w:szCs w:val="30"/>
          <w:highlight w:val="none"/>
        </w:rPr>
        <w:t>第三章  评标办法和标准</w:t>
      </w:r>
      <w:bookmarkEnd w:id="41"/>
      <w:bookmarkEnd w:id="42"/>
    </w:p>
    <w:p w14:paraId="7BFA942B">
      <w:pPr>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【1】总则</w:t>
      </w:r>
    </w:p>
    <w:p w14:paraId="680EB8DF">
      <w:pPr>
        <w:spacing w:line="360" w:lineRule="auto"/>
        <w:ind w:firstLine="480"/>
        <w:rPr>
          <w:rFonts w:ascii="仿宋" w:hAnsi="仿宋" w:eastAsia="仿宋" w:cs="仿宋"/>
          <w:b/>
          <w:bCs/>
          <w:color w:val="auto"/>
          <w:sz w:val="24"/>
          <w:highlight w:val="none"/>
        </w:rPr>
      </w:pPr>
      <w:r>
        <w:rPr>
          <w:rFonts w:hint="eastAsia" w:ascii="仿宋" w:hAnsi="仿宋" w:eastAsia="仿宋" w:cs="仿宋"/>
          <w:color w:val="auto"/>
          <w:sz w:val="24"/>
          <w:highlight w:val="none"/>
        </w:rPr>
        <w:t>为维护招投标双方的合法权益，增加评标工作透明度，保证评标、定标的科学性、公正性和可操作性，根据《中华人民共和国招标投标法》《中华人民共和国招标投标法实施条例》《评标委员会和评标办法暂行规定（七部委12号令）》等法律法规的精神，结合本市实际制定本办法。</w:t>
      </w:r>
      <w:r>
        <w:rPr>
          <w:rFonts w:hint="eastAsia" w:ascii="仿宋" w:hAnsi="仿宋" w:eastAsia="仿宋" w:cs="仿宋"/>
          <w:b/>
          <w:bCs/>
          <w:color w:val="auto"/>
          <w:sz w:val="24"/>
          <w:highlight w:val="none"/>
        </w:rPr>
        <w:t>本招标文件其它部分与本评标办法不一致的，以本办法的规定为准。</w:t>
      </w:r>
    </w:p>
    <w:p w14:paraId="708DDB9F">
      <w:pPr>
        <w:spacing w:line="360" w:lineRule="auto"/>
        <w:jc w:val="center"/>
        <w:rPr>
          <w:rFonts w:ascii="仿宋" w:hAnsi="仿宋" w:eastAsia="仿宋" w:cs="仿宋"/>
          <w:b/>
          <w:color w:val="auto"/>
          <w:sz w:val="24"/>
          <w:highlight w:val="none"/>
        </w:rPr>
      </w:pPr>
    </w:p>
    <w:p w14:paraId="25CB16D9">
      <w:pPr>
        <w:spacing w:line="360" w:lineRule="auto"/>
        <w:jc w:val="center"/>
        <w:rPr>
          <w:rFonts w:ascii="仿宋" w:hAnsi="仿宋" w:eastAsia="仿宋" w:cs="仿宋"/>
          <w:color w:val="auto"/>
          <w:highlight w:val="none"/>
        </w:rPr>
      </w:pPr>
      <w:r>
        <w:rPr>
          <w:rFonts w:hint="eastAsia" w:ascii="仿宋" w:hAnsi="仿宋" w:eastAsia="仿宋" w:cs="仿宋"/>
          <w:b/>
          <w:color w:val="auto"/>
          <w:sz w:val="24"/>
          <w:highlight w:val="none"/>
        </w:rPr>
        <w:t>【2】评标程序</w:t>
      </w:r>
    </w:p>
    <w:p w14:paraId="75B7823B">
      <w:pPr>
        <w:spacing w:line="360" w:lineRule="auto"/>
        <w:ind w:firstLine="482" w:firstLineChars="200"/>
        <w:rPr>
          <w:rFonts w:ascii="仿宋" w:hAnsi="仿宋" w:eastAsia="仿宋" w:cs="仿宋"/>
          <w:color w:val="auto"/>
          <w:sz w:val="24"/>
          <w:highlight w:val="none"/>
        </w:rPr>
      </w:pPr>
      <w:r>
        <w:rPr>
          <w:rFonts w:hint="eastAsia" w:ascii="仿宋" w:hAnsi="仿宋" w:eastAsia="仿宋" w:cs="仿宋"/>
          <w:b/>
          <w:color w:val="auto"/>
          <w:sz w:val="24"/>
          <w:highlight w:val="none"/>
        </w:rPr>
        <w:t>2.1</w:t>
      </w:r>
      <w:r>
        <w:rPr>
          <w:rFonts w:hint="eastAsia" w:ascii="仿宋" w:hAnsi="仿宋" w:eastAsia="仿宋" w:cs="仿宋"/>
          <w:color w:val="auto"/>
          <w:sz w:val="24"/>
          <w:highlight w:val="none"/>
        </w:rPr>
        <w:t>开标时，评标委员会按照投标资</w:t>
      </w:r>
      <w:r>
        <w:rPr>
          <w:rFonts w:hint="eastAsia" w:ascii="仿宋" w:hAnsi="仿宋" w:eastAsia="仿宋" w:cs="仿宋"/>
          <w:color w:val="auto"/>
          <w:sz w:val="24"/>
          <w:szCs w:val="22"/>
          <w:highlight w:val="none"/>
        </w:rPr>
        <w:t>格审查（资信标评审）</w:t>
      </w:r>
      <w:r>
        <w:rPr>
          <w:rFonts w:hint="eastAsia" w:ascii="仿宋" w:hAnsi="仿宋" w:eastAsia="仿宋" w:cs="仿宋"/>
          <w:color w:val="auto"/>
          <w:sz w:val="24"/>
          <w:highlight w:val="none"/>
        </w:rPr>
        <w:t>、技术标评审、商务标评审、企业信用评审的顺序依次进行评审。前一顺序评审通过的方可进行下一顺序评审，已进入下一顺序评审的，评审委员会不得再对前面顺序评审的结果进行重新复核。</w:t>
      </w:r>
    </w:p>
    <w:p w14:paraId="0ECF7445">
      <w:pPr>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color w:val="auto"/>
          <w:sz w:val="24"/>
          <w:highlight w:val="none"/>
        </w:rPr>
        <w:t>2.2</w:t>
      </w:r>
      <w:r>
        <w:rPr>
          <w:rFonts w:hint="eastAsia" w:ascii="仿宋" w:hAnsi="仿宋" w:eastAsia="仿宋" w:cs="仿宋"/>
          <w:color w:val="auto"/>
          <w:sz w:val="24"/>
          <w:highlight w:val="none"/>
        </w:rPr>
        <w:t>评标委员会对招标文件及评标方法中存在模糊不清、不易理解的内容，可要求招标人或代理机构现场解释澄清。解释澄清的内容合理的，评委会应当接受；解释澄清的内容超出了招标文件字面含义、违背了相关法律法规的，评委会应当拒绝并根据自己的专业素质做出判断。</w:t>
      </w:r>
    </w:p>
    <w:p w14:paraId="0EAF5C8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bCs/>
          <w:color w:val="auto"/>
          <w:sz w:val="24"/>
          <w:highlight w:val="none"/>
        </w:rPr>
        <w:t>2.3</w:t>
      </w:r>
      <w:r>
        <w:rPr>
          <w:rFonts w:hint="eastAsia" w:ascii="仿宋" w:hAnsi="仿宋" w:eastAsia="仿宋" w:cs="仿宋"/>
          <w:color w:val="auto"/>
          <w:sz w:val="24"/>
          <w:highlight w:val="none"/>
        </w:rPr>
        <w:t>评标委员会按评标办法，推荐有排序的预中标候选人。对否定的投标文件，评委要提出充足的否定理由，并填写在评标记录上；对认定出现异议的，按照少数服从多数的原则由评委采取投票方式表决确定。评委对评标结论有异议的应用书面方式阐述，评委拒绝在评标报告上签字且不陈述其不同意见和理由的，视为同意评标结论。</w:t>
      </w:r>
    </w:p>
    <w:p w14:paraId="52F5FE8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2.4流标的项目，评标委员会除应在评标报告上说明认定项目流标的理由外，还应分析流标产生的可能原因、招标文件有无不合理条款，并提出预防再次流标的措施和建议。</w:t>
      </w:r>
    </w:p>
    <w:p w14:paraId="7A0D4961">
      <w:pPr>
        <w:spacing w:line="360" w:lineRule="auto"/>
        <w:jc w:val="center"/>
        <w:rPr>
          <w:rFonts w:ascii="仿宋" w:hAnsi="仿宋" w:eastAsia="仿宋" w:cs="仿宋"/>
          <w:b/>
          <w:color w:val="auto"/>
          <w:sz w:val="24"/>
          <w:highlight w:val="none"/>
        </w:rPr>
      </w:pPr>
    </w:p>
    <w:p w14:paraId="15292B6E">
      <w:pPr>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【3】资格审查（资信标评审）</w:t>
      </w:r>
    </w:p>
    <w:tbl>
      <w:tblPr>
        <w:tblStyle w:val="36"/>
        <w:tblpPr w:leftFromText="180" w:rightFromText="180" w:vertAnchor="text" w:horzAnchor="page" w:tblpX="1052" w:tblpY="445"/>
        <w:tblOverlap w:val="never"/>
        <w:tblW w:w="973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4"/>
        <w:gridCol w:w="1286"/>
        <w:gridCol w:w="3004"/>
        <w:gridCol w:w="2500"/>
        <w:gridCol w:w="2418"/>
      </w:tblGrid>
      <w:tr w14:paraId="5B30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24" w:type="dxa"/>
            <w:vAlign w:val="center"/>
          </w:tcPr>
          <w:p w14:paraId="051BA59C">
            <w:pPr>
              <w:widowControl/>
              <w:spacing w:line="300" w:lineRule="exact"/>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序</w:t>
            </w:r>
          </w:p>
          <w:p w14:paraId="01968B4A">
            <w:pPr>
              <w:widowControl/>
              <w:spacing w:line="300" w:lineRule="exact"/>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号</w:t>
            </w:r>
          </w:p>
        </w:tc>
        <w:tc>
          <w:tcPr>
            <w:tcW w:w="1286" w:type="dxa"/>
            <w:vAlign w:val="center"/>
          </w:tcPr>
          <w:p w14:paraId="5245AB37">
            <w:pPr>
              <w:widowControl/>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合格条件</w:t>
            </w:r>
          </w:p>
        </w:tc>
        <w:tc>
          <w:tcPr>
            <w:tcW w:w="3004" w:type="dxa"/>
            <w:vAlign w:val="center"/>
          </w:tcPr>
          <w:p w14:paraId="6FB30C9E">
            <w:pPr>
              <w:widowControl/>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投标资格合格条件标准</w:t>
            </w:r>
          </w:p>
        </w:tc>
        <w:tc>
          <w:tcPr>
            <w:tcW w:w="2500" w:type="dxa"/>
            <w:vAlign w:val="center"/>
          </w:tcPr>
          <w:p w14:paraId="19925806">
            <w:pPr>
              <w:widowControl/>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有效证明材料</w:t>
            </w:r>
          </w:p>
        </w:tc>
        <w:tc>
          <w:tcPr>
            <w:tcW w:w="2418" w:type="dxa"/>
            <w:vAlign w:val="center"/>
          </w:tcPr>
          <w:p w14:paraId="2A39BA06">
            <w:pPr>
              <w:widowControl/>
              <w:spacing w:line="300" w:lineRule="exact"/>
              <w:jc w:val="center"/>
              <w:rPr>
                <w:rFonts w:ascii="仿宋" w:hAnsi="仿宋" w:eastAsia="仿宋" w:cs="仿宋"/>
                <w:b/>
                <w:color w:val="auto"/>
                <w:sz w:val="21"/>
                <w:szCs w:val="21"/>
                <w:highlight w:val="none"/>
              </w:rPr>
            </w:pPr>
            <w:r>
              <w:rPr>
                <w:rFonts w:hint="eastAsia" w:ascii="仿宋" w:hAnsi="仿宋" w:eastAsia="仿宋" w:cs="仿宋"/>
                <w:b/>
                <w:color w:val="auto"/>
                <w:sz w:val="21"/>
                <w:szCs w:val="21"/>
                <w:highlight w:val="none"/>
              </w:rPr>
              <w:t>定性的结论以及相关情况说明</w:t>
            </w:r>
          </w:p>
        </w:tc>
      </w:tr>
      <w:tr w14:paraId="1E4F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blCellSpacing w:w="0" w:type="dxa"/>
        </w:trPr>
        <w:tc>
          <w:tcPr>
            <w:tcW w:w="524" w:type="dxa"/>
            <w:vAlign w:val="center"/>
          </w:tcPr>
          <w:p w14:paraId="5B97BAD5">
            <w:pPr>
              <w:widowControl/>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p>
        </w:tc>
        <w:tc>
          <w:tcPr>
            <w:tcW w:w="1286" w:type="dxa"/>
            <w:vAlign w:val="center"/>
          </w:tcPr>
          <w:p w14:paraId="04ECDA43">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营业执照</w:t>
            </w:r>
          </w:p>
        </w:tc>
        <w:tc>
          <w:tcPr>
            <w:tcW w:w="3004" w:type="dxa"/>
            <w:vAlign w:val="center"/>
          </w:tcPr>
          <w:p w14:paraId="4A1DD422">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营业执照（副本）</w:t>
            </w:r>
          </w:p>
        </w:tc>
        <w:tc>
          <w:tcPr>
            <w:tcW w:w="2500" w:type="dxa"/>
            <w:vAlign w:val="center"/>
          </w:tcPr>
          <w:p w14:paraId="4DCA7AE5">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营业执照（副本）</w:t>
            </w:r>
          </w:p>
        </w:tc>
        <w:tc>
          <w:tcPr>
            <w:tcW w:w="2418" w:type="dxa"/>
            <w:vMerge w:val="restart"/>
            <w:vAlign w:val="center"/>
          </w:tcPr>
          <w:p w14:paraId="0FAD92BF">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扫描件（包含复印件或影印件，余同）加盖公章装订在资信标内</w:t>
            </w:r>
          </w:p>
        </w:tc>
      </w:tr>
      <w:tr w14:paraId="76FF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blCellSpacing w:w="0" w:type="dxa"/>
        </w:trPr>
        <w:tc>
          <w:tcPr>
            <w:tcW w:w="524" w:type="dxa"/>
            <w:vAlign w:val="center"/>
          </w:tcPr>
          <w:p w14:paraId="389C0706">
            <w:pPr>
              <w:widowControl/>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p>
        </w:tc>
        <w:tc>
          <w:tcPr>
            <w:tcW w:w="1286" w:type="dxa"/>
            <w:vAlign w:val="center"/>
          </w:tcPr>
          <w:p w14:paraId="63D1313E">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资质证书</w:t>
            </w:r>
          </w:p>
        </w:tc>
        <w:tc>
          <w:tcPr>
            <w:tcW w:w="3004" w:type="dxa"/>
            <w:vAlign w:val="center"/>
          </w:tcPr>
          <w:p w14:paraId="5F48B2BE">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具备招标公告规定的资质条件</w:t>
            </w:r>
          </w:p>
        </w:tc>
        <w:tc>
          <w:tcPr>
            <w:tcW w:w="2500" w:type="dxa"/>
            <w:vAlign w:val="center"/>
          </w:tcPr>
          <w:p w14:paraId="0222F737">
            <w:pPr>
              <w:widowControl/>
              <w:adjustRightInd/>
              <w:ind w:left="50" w:leftChars="25" w:right="50" w:rightChars="25"/>
              <w:jc w:val="center"/>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有效的资质等级证书（副本）</w:t>
            </w:r>
          </w:p>
        </w:tc>
        <w:tc>
          <w:tcPr>
            <w:tcW w:w="2418" w:type="dxa"/>
            <w:vMerge w:val="continue"/>
            <w:vAlign w:val="center"/>
          </w:tcPr>
          <w:p w14:paraId="450DDAF9">
            <w:pPr>
              <w:widowControl/>
              <w:jc w:val="left"/>
              <w:rPr>
                <w:rFonts w:ascii="仿宋" w:hAnsi="仿宋" w:eastAsia="仿宋" w:cs="仿宋"/>
                <w:color w:val="auto"/>
                <w:sz w:val="21"/>
                <w:szCs w:val="21"/>
                <w:highlight w:val="none"/>
              </w:rPr>
            </w:pPr>
          </w:p>
        </w:tc>
      </w:tr>
      <w:tr w14:paraId="0CF1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tblCellSpacing w:w="0" w:type="dxa"/>
        </w:trPr>
        <w:tc>
          <w:tcPr>
            <w:tcW w:w="524" w:type="dxa"/>
            <w:vAlign w:val="center"/>
          </w:tcPr>
          <w:p w14:paraId="268AA90C">
            <w:pPr>
              <w:widowControl/>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3</w:t>
            </w:r>
          </w:p>
        </w:tc>
        <w:tc>
          <w:tcPr>
            <w:tcW w:w="1286" w:type="dxa"/>
            <w:vAlign w:val="center"/>
          </w:tcPr>
          <w:p w14:paraId="510DBD89">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诚信承诺书</w:t>
            </w:r>
          </w:p>
        </w:tc>
        <w:tc>
          <w:tcPr>
            <w:tcW w:w="3004" w:type="dxa"/>
            <w:vAlign w:val="center"/>
          </w:tcPr>
          <w:p w14:paraId="058D4F0E">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投标诚信承诺，按格式要求填写。</w:t>
            </w:r>
          </w:p>
        </w:tc>
        <w:tc>
          <w:tcPr>
            <w:tcW w:w="2500" w:type="dxa"/>
            <w:vAlign w:val="center"/>
          </w:tcPr>
          <w:p w14:paraId="3B2AAAA4">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由法定代表人签署并加盖公章的诚信承诺书</w:t>
            </w:r>
          </w:p>
        </w:tc>
        <w:tc>
          <w:tcPr>
            <w:tcW w:w="2418" w:type="dxa"/>
            <w:vMerge w:val="restart"/>
            <w:vAlign w:val="center"/>
          </w:tcPr>
          <w:p w14:paraId="22CDA2C1">
            <w:pPr>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加盖单位公章的原件装订在投标文件资信标内</w:t>
            </w:r>
          </w:p>
        </w:tc>
      </w:tr>
      <w:tr w14:paraId="5030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tblCellSpacing w:w="0" w:type="dxa"/>
        </w:trPr>
        <w:tc>
          <w:tcPr>
            <w:tcW w:w="524" w:type="dxa"/>
            <w:vAlign w:val="center"/>
          </w:tcPr>
          <w:p w14:paraId="5DF90EF6">
            <w:pPr>
              <w:widowControl/>
              <w:spacing w:line="300" w:lineRule="exact"/>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w:t>
            </w:r>
          </w:p>
        </w:tc>
        <w:tc>
          <w:tcPr>
            <w:tcW w:w="1286" w:type="dxa"/>
            <w:vAlign w:val="center"/>
          </w:tcPr>
          <w:p w14:paraId="73209AE5">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授权委托书、法定代表人身份证明书</w:t>
            </w:r>
          </w:p>
        </w:tc>
        <w:tc>
          <w:tcPr>
            <w:tcW w:w="3004" w:type="dxa"/>
            <w:vAlign w:val="center"/>
          </w:tcPr>
          <w:p w14:paraId="01B7CF5B">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委托人到场的，需授权委托书；法定代表人到场的，无需授权委托书。</w:t>
            </w:r>
          </w:p>
        </w:tc>
        <w:tc>
          <w:tcPr>
            <w:tcW w:w="2500" w:type="dxa"/>
            <w:vAlign w:val="center"/>
          </w:tcPr>
          <w:p w14:paraId="73B48297">
            <w:pPr>
              <w:widowControl/>
              <w:spacing w:line="300" w:lineRule="exact"/>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按给定格式要求填写、签字（盖章）。</w:t>
            </w:r>
          </w:p>
        </w:tc>
        <w:tc>
          <w:tcPr>
            <w:tcW w:w="2418" w:type="dxa"/>
            <w:vMerge w:val="continue"/>
            <w:vAlign w:val="center"/>
          </w:tcPr>
          <w:p w14:paraId="11D18646">
            <w:pPr>
              <w:widowControl/>
              <w:spacing w:line="300" w:lineRule="exact"/>
              <w:jc w:val="left"/>
              <w:rPr>
                <w:rFonts w:ascii="仿宋" w:hAnsi="仿宋" w:eastAsia="仿宋" w:cs="仿宋"/>
                <w:color w:val="auto"/>
                <w:sz w:val="21"/>
                <w:szCs w:val="21"/>
                <w:highlight w:val="none"/>
              </w:rPr>
            </w:pPr>
          </w:p>
        </w:tc>
      </w:tr>
    </w:tbl>
    <w:p w14:paraId="2D8C2598">
      <w:pPr>
        <w:spacing w:line="360" w:lineRule="auto"/>
        <w:ind w:firstLine="480"/>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color w:val="auto"/>
          <w:sz w:val="24"/>
          <w:szCs w:val="24"/>
          <w:highlight w:val="none"/>
        </w:rPr>
        <w:t>（1）以上各项中有一项不符合即为不合格。第</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项中的授权委托书及法定代表人身份证明书必须提供，身份证扫描件或复印件不作为废标条件，仅用作判定其澄清或异议效力的依据。</w:t>
      </w:r>
    </w:p>
    <w:p w14:paraId="385BE90E">
      <w:pPr>
        <w:spacing w:line="360" w:lineRule="auto"/>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（2）各类资质证明、营业执照等均不要求投标人提供原件。</w:t>
      </w:r>
    </w:p>
    <w:p w14:paraId="0C503586">
      <w:pPr>
        <w:spacing w:line="360" w:lineRule="auto"/>
        <w:ind w:firstLine="48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（3）存在弄虚作假情形的，报相关主管部门作出相应的处理。</w:t>
      </w:r>
    </w:p>
    <w:p w14:paraId="337253E4">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szCs w:val="24"/>
          <w:highlight w:val="none"/>
        </w:rPr>
        <w:t>（4）资格审查未通过的投标文件将不得进入技术标及商务标的评审。</w:t>
      </w:r>
    </w:p>
    <w:p w14:paraId="237B161F">
      <w:pPr>
        <w:pStyle w:val="55"/>
        <w:spacing w:line="360" w:lineRule="auto"/>
        <w:jc w:val="center"/>
        <w:rPr>
          <w:rFonts w:ascii="仿宋" w:hAnsi="仿宋" w:eastAsia="仿宋" w:cs="仿宋"/>
          <w:color w:val="auto"/>
          <w:szCs w:val="22"/>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szCs w:val="22"/>
          <w:highlight w:val="none"/>
        </w:rPr>
        <w:t>投标文件技术标及商务标评审</w:t>
      </w:r>
    </w:p>
    <w:p w14:paraId="6D714379">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4.1本项目采用综合评估法，即技术标和商务标评审总分（满分）为100分，其中技术标满分</w:t>
      </w:r>
      <w:r>
        <w:rPr>
          <w:rFonts w:hint="eastAsia" w:ascii="仿宋" w:hAnsi="仿宋" w:eastAsia="仿宋" w:cs="仿宋"/>
          <w:color w:val="auto"/>
          <w:sz w:val="24"/>
          <w:szCs w:val="24"/>
          <w:highlight w:val="none"/>
          <w:lang w:val="en-US" w:eastAsia="zh-CN"/>
        </w:rPr>
        <w:t>65</w:t>
      </w:r>
      <w:r>
        <w:rPr>
          <w:rFonts w:hint="eastAsia" w:ascii="仿宋" w:hAnsi="仿宋" w:eastAsia="仿宋" w:cs="仿宋"/>
          <w:color w:val="auto"/>
          <w:sz w:val="24"/>
          <w:szCs w:val="24"/>
          <w:highlight w:val="none"/>
        </w:rPr>
        <w:t>分，商务标满分</w:t>
      </w:r>
      <w:r>
        <w:rPr>
          <w:rFonts w:hint="eastAsia" w:ascii="仿宋" w:hAnsi="仿宋" w:eastAsia="仿宋" w:cs="仿宋"/>
          <w:color w:val="auto"/>
          <w:sz w:val="24"/>
          <w:szCs w:val="24"/>
          <w:highlight w:val="none"/>
          <w:lang w:val="en-US" w:eastAsia="zh-CN"/>
        </w:rPr>
        <w:t>35</w:t>
      </w:r>
      <w:r>
        <w:rPr>
          <w:rFonts w:hint="eastAsia" w:ascii="仿宋" w:hAnsi="仿宋" w:eastAsia="仿宋" w:cs="仿宋"/>
          <w:color w:val="auto"/>
          <w:sz w:val="24"/>
          <w:szCs w:val="24"/>
          <w:highlight w:val="none"/>
        </w:rPr>
        <w:t>分。</w:t>
      </w:r>
    </w:p>
    <w:p w14:paraId="31882897">
      <w:pPr>
        <w:pStyle w:val="2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4.2未通过资格审查的投标文件将不进入下一步评审。</w:t>
      </w:r>
    </w:p>
    <w:p w14:paraId="589F5A24">
      <w:pPr>
        <w:pStyle w:val="20"/>
        <w:spacing w:line="360" w:lineRule="auto"/>
        <w:ind w:firstLine="480" w:firstLineChars="200"/>
        <w:rPr>
          <w:rFonts w:ascii="仿宋" w:hAnsi="仿宋" w:eastAsia="仿宋" w:cs="仿宋"/>
          <w:b/>
          <w:color w:val="auto"/>
          <w:sz w:val="24"/>
          <w:szCs w:val="24"/>
          <w:highlight w:val="none"/>
        </w:rPr>
      </w:pPr>
      <w:r>
        <w:rPr>
          <w:rFonts w:hint="eastAsia" w:ascii="仿宋" w:hAnsi="仿宋" w:eastAsia="仿宋" w:cs="仿宋"/>
          <w:color w:val="auto"/>
          <w:sz w:val="24"/>
          <w:szCs w:val="24"/>
          <w:highlight w:val="none"/>
        </w:rPr>
        <w:t>4.3技术标评审满分</w:t>
      </w:r>
      <w:r>
        <w:rPr>
          <w:rFonts w:hint="eastAsia" w:ascii="仿宋" w:hAnsi="仿宋" w:eastAsia="仿宋" w:cs="仿宋"/>
          <w:color w:val="auto"/>
          <w:sz w:val="24"/>
          <w:szCs w:val="24"/>
          <w:highlight w:val="none"/>
          <w:lang w:val="en-US" w:eastAsia="zh-CN"/>
        </w:rPr>
        <w:t>65</w:t>
      </w:r>
      <w:r>
        <w:rPr>
          <w:rFonts w:hint="eastAsia" w:ascii="仿宋" w:hAnsi="仿宋" w:eastAsia="仿宋" w:cs="仿宋"/>
          <w:color w:val="auto"/>
          <w:sz w:val="24"/>
          <w:szCs w:val="24"/>
          <w:highlight w:val="none"/>
        </w:rPr>
        <w:t>分，其中技术方案</w:t>
      </w:r>
      <w:r>
        <w:rPr>
          <w:rFonts w:hint="eastAsia" w:ascii="仿宋" w:hAnsi="仿宋" w:eastAsia="仿宋" w:cs="仿宋"/>
          <w:color w:val="auto"/>
          <w:sz w:val="24"/>
          <w:szCs w:val="24"/>
          <w:highlight w:val="none"/>
          <w:lang w:val="en-US" w:eastAsia="zh-CN"/>
        </w:rPr>
        <w:t>29</w:t>
      </w:r>
      <w:r>
        <w:rPr>
          <w:rFonts w:hint="eastAsia" w:ascii="仿宋" w:hAnsi="仿宋" w:eastAsia="仿宋" w:cs="仿宋"/>
          <w:color w:val="auto"/>
          <w:sz w:val="24"/>
          <w:szCs w:val="24"/>
          <w:highlight w:val="none"/>
        </w:rPr>
        <w:t>分、企业综合实力</w:t>
      </w:r>
      <w:r>
        <w:rPr>
          <w:rFonts w:hint="eastAsia" w:ascii="仿宋" w:hAnsi="仿宋" w:eastAsia="仿宋" w:cs="仿宋"/>
          <w:color w:val="auto"/>
          <w:sz w:val="24"/>
          <w:szCs w:val="24"/>
          <w:highlight w:val="none"/>
          <w:lang w:val="en-US" w:eastAsia="zh-CN"/>
        </w:rPr>
        <w:t>36</w:t>
      </w:r>
      <w:r>
        <w:rPr>
          <w:rFonts w:hint="eastAsia" w:ascii="仿宋" w:hAnsi="仿宋" w:eastAsia="仿宋" w:cs="仿宋"/>
          <w:color w:val="auto"/>
          <w:sz w:val="24"/>
          <w:szCs w:val="24"/>
          <w:highlight w:val="none"/>
        </w:rPr>
        <w:t>分。具体评分细则及评分细则说明内容如下：</w:t>
      </w:r>
    </w:p>
    <w:p w14:paraId="0272BCA6">
      <w:pPr>
        <w:spacing w:line="360" w:lineRule="auto"/>
        <w:ind w:firstLine="480"/>
        <w:jc w:val="center"/>
        <w:rPr>
          <w:color w:val="auto"/>
          <w:highlight w:val="none"/>
        </w:rPr>
      </w:pPr>
      <w:r>
        <w:rPr>
          <w:rFonts w:hint="eastAsia" w:ascii="仿宋" w:hAnsi="仿宋" w:eastAsia="仿宋" w:cs="仿宋"/>
          <w:b/>
          <w:color w:val="auto"/>
          <w:sz w:val="24"/>
          <w:szCs w:val="24"/>
          <w:highlight w:val="none"/>
        </w:rPr>
        <w:t>【Ⅰ】技术方案评分细则（满分</w:t>
      </w:r>
      <w:r>
        <w:rPr>
          <w:rFonts w:hint="eastAsia" w:ascii="仿宋" w:hAnsi="仿宋" w:eastAsia="仿宋" w:cs="仿宋"/>
          <w:b/>
          <w:color w:val="auto"/>
          <w:sz w:val="24"/>
          <w:szCs w:val="24"/>
          <w:highlight w:val="none"/>
          <w:lang w:val="en-US" w:eastAsia="zh-CN"/>
        </w:rPr>
        <w:t>29</w:t>
      </w:r>
      <w:r>
        <w:rPr>
          <w:rFonts w:hint="eastAsia" w:ascii="仿宋" w:hAnsi="仿宋" w:eastAsia="仿宋" w:cs="仿宋"/>
          <w:b/>
          <w:color w:val="auto"/>
          <w:sz w:val="24"/>
          <w:szCs w:val="24"/>
          <w:highlight w:val="none"/>
        </w:rPr>
        <w:t>分）</w:t>
      </w:r>
    </w:p>
    <w:tbl>
      <w:tblPr>
        <w:tblStyle w:val="36"/>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62"/>
        <w:gridCol w:w="6625"/>
        <w:gridCol w:w="806"/>
      </w:tblGrid>
      <w:tr w14:paraId="7B98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88" w:type="dxa"/>
            <w:gridSpan w:val="2"/>
            <w:vAlign w:val="center"/>
          </w:tcPr>
          <w:p w14:paraId="7869D368">
            <w:pPr>
              <w:spacing w:line="400" w:lineRule="exact"/>
              <w:jc w:val="center"/>
              <w:rPr>
                <w:rFonts w:ascii="仿宋" w:hAnsi="仿宋" w:eastAsia="仿宋" w:cs="仿宋"/>
                <w:color w:val="auto"/>
                <w:w w:val="90"/>
                <w:sz w:val="28"/>
                <w:szCs w:val="28"/>
                <w:highlight w:val="none"/>
              </w:rPr>
            </w:pPr>
            <w:r>
              <w:rPr>
                <w:rFonts w:hint="eastAsia" w:ascii="仿宋" w:hAnsi="仿宋" w:eastAsia="仿宋" w:cs="仿宋"/>
                <w:color w:val="auto"/>
                <w:w w:val="90"/>
                <w:sz w:val="28"/>
                <w:szCs w:val="28"/>
                <w:highlight w:val="none"/>
              </w:rPr>
              <w:t>评审因素</w:t>
            </w:r>
          </w:p>
        </w:tc>
        <w:tc>
          <w:tcPr>
            <w:tcW w:w="6625" w:type="dxa"/>
            <w:vAlign w:val="center"/>
          </w:tcPr>
          <w:p w14:paraId="7D47EA85">
            <w:pPr>
              <w:spacing w:line="400" w:lineRule="exact"/>
              <w:jc w:val="center"/>
              <w:rPr>
                <w:rFonts w:ascii="仿宋" w:hAnsi="仿宋" w:eastAsia="仿宋" w:cs="仿宋"/>
                <w:color w:val="auto"/>
                <w:w w:val="90"/>
                <w:sz w:val="28"/>
                <w:szCs w:val="28"/>
                <w:highlight w:val="none"/>
              </w:rPr>
            </w:pPr>
            <w:r>
              <w:rPr>
                <w:rFonts w:hint="eastAsia" w:ascii="仿宋" w:hAnsi="仿宋" w:eastAsia="仿宋" w:cs="仿宋"/>
                <w:color w:val="auto"/>
                <w:w w:val="90"/>
                <w:sz w:val="28"/>
                <w:szCs w:val="28"/>
                <w:highlight w:val="none"/>
              </w:rPr>
              <w:t>评分标准</w:t>
            </w:r>
          </w:p>
        </w:tc>
        <w:tc>
          <w:tcPr>
            <w:tcW w:w="806" w:type="dxa"/>
            <w:vAlign w:val="center"/>
          </w:tcPr>
          <w:p w14:paraId="13762453">
            <w:pPr>
              <w:spacing w:line="400" w:lineRule="exact"/>
              <w:jc w:val="center"/>
              <w:rPr>
                <w:rFonts w:ascii="仿宋" w:hAnsi="仿宋" w:eastAsia="仿宋" w:cs="仿宋"/>
                <w:color w:val="auto"/>
                <w:w w:val="90"/>
                <w:sz w:val="28"/>
                <w:szCs w:val="28"/>
                <w:highlight w:val="none"/>
              </w:rPr>
            </w:pPr>
            <w:r>
              <w:rPr>
                <w:rFonts w:hint="eastAsia" w:ascii="仿宋" w:hAnsi="仿宋" w:eastAsia="仿宋" w:cs="仿宋"/>
                <w:color w:val="auto"/>
                <w:w w:val="90"/>
                <w:sz w:val="28"/>
                <w:szCs w:val="28"/>
                <w:highlight w:val="none"/>
              </w:rPr>
              <w:t>分值</w:t>
            </w:r>
          </w:p>
        </w:tc>
      </w:tr>
      <w:tr w14:paraId="46FF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026" w:type="dxa"/>
            <w:vMerge w:val="restart"/>
            <w:vAlign w:val="center"/>
          </w:tcPr>
          <w:p w14:paraId="0D2AF876">
            <w:pPr>
              <w:pStyle w:val="34"/>
              <w:ind w:firstLine="0" w:firstLine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技术</w:t>
            </w:r>
          </w:p>
          <w:p w14:paraId="0B95B2D2">
            <w:pPr>
              <w:pStyle w:val="34"/>
              <w:ind w:firstLine="0" w:firstLineChars="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方案</w:t>
            </w:r>
          </w:p>
          <w:p w14:paraId="449FE1ED">
            <w:pPr>
              <w:pStyle w:val="34"/>
              <w:ind w:firstLine="0" w:firstLineChars="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29</w:t>
            </w:r>
            <w:r>
              <w:rPr>
                <w:rFonts w:hint="eastAsia" w:ascii="仿宋" w:hAnsi="仿宋" w:eastAsia="仿宋" w:cs="仿宋"/>
                <w:color w:val="auto"/>
                <w:sz w:val="21"/>
                <w:szCs w:val="21"/>
                <w:highlight w:val="none"/>
              </w:rPr>
              <w:t>分）</w:t>
            </w:r>
          </w:p>
        </w:tc>
        <w:tc>
          <w:tcPr>
            <w:tcW w:w="1062" w:type="dxa"/>
            <w:vAlign w:val="center"/>
          </w:tcPr>
          <w:p w14:paraId="79DC3A3F">
            <w:pPr>
              <w:pStyle w:val="34"/>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总体方案的完整性</w:t>
            </w:r>
          </w:p>
        </w:tc>
        <w:tc>
          <w:tcPr>
            <w:tcW w:w="6625" w:type="dxa"/>
            <w:vAlign w:val="center"/>
          </w:tcPr>
          <w:p w14:paraId="5A99AFD4">
            <w:pPr>
              <w:pStyle w:val="34"/>
              <w:ind w:firstLine="0" w:firstLineChars="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立足项目定位，设计理念先进，</w:t>
            </w:r>
            <w:r>
              <w:rPr>
                <w:rFonts w:hint="eastAsia" w:ascii="仿宋" w:hAnsi="仿宋" w:eastAsia="仿宋" w:cs="仿宋"/>
                <w:color w:val="auto"/>
                <w:sz w:val="21"/>
                <w:szCs w:val="21"/>
                <w:highlight w:val="none"/>
                <w:lang w:val="en-US" w:eastAsia="zh-CN"/>
              </w:rPr>
              <w:t>内容完整，</w:t>
            </w:r>
            <w:r>
              <w:rPr>
                <w:rFonts w:hint="eastAsia" w:ascii="仿宋" w:hAnsi="仿宋" w:eastAsia="仿宋" w:cs="仿宋"/>
                <w:color w:val="auto"/>
                <w:sz w:val="21"/>
                <w:szCs w:val="21"/>
                <w:highlight w:val="none"/>
              </w:rPr>
              <w:t>功能符合项目使用要求；优得5分，良得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无总体方案得0</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p>
        </w:tc>
        <w:tc>
          <w:tcPr>
            <w:tcW w:w="806" w:type="dxa"/>
            <w:vAlign w:val="center"/>
          </w:tcPr>
          <w:p w14:paraId="6B67603B">
            <w:pPr>
              <w:pStyle w:val="34"/>
              <w:ind w:firstLine="0" w:firstLineChars="0"/>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r>
      <w:tr w14:paraId="2D85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026" w:type="dxa"/>
            <w:vMerge w:val="continue"/>
            <w:vAlign w:val="center"/>
          </w:tcPr>
          <w:p w14:paraId="66D451B1">
            <w:pPr>
              <w:pStyle w:val="34"/>
              <w:ind w:firstLine="0" w:firstLineChars="0"/>
              <w:jc w:val="center"/>
              <w:rPr>
                <w:rFonts w:ascii="仿宋" w:hAnsi="仿宋" w:eastAsia="仿宋" w:cs="仿宋"/>
                <w:color w:val="auto"/>
                <w:sz w:val="21"/>
                <w:szCs w:val="21"/>
                <w:highlight w:val="none"/>
              </w:rPr>
            </w:pPr>
          </w:p>
        </w:tc>
        <w:tc>
          <w:tcPr>
            <w:tcW w:w="1062" w:type="dxa"/>
            <w:vAlign w:val="center"/>
          </w:tcPr>
          <w:p w14:paraId="4FCA6EBD">
            <w:pPr>
              <w:pStyle w:val="34"/>
              <w:ind w:firstLine="0" w:firstLineChars="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项目班子配备</w:t>
            </w:r>
          </w:p>
        </w:tc>
        <w:tc>
          <w:tcPr>
            <w:tcW w:w="6625" w:type="dxa"/>
            <w:vAlign w:val="center"/>
          </w:tcPr>
          <w:p w14:paraId="7783FA7D">
            <w:pPr>
              <w:widowControl/>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投入</w:t>
            </w:r>
            <w:r>
              <w:rPr>
                <w:rFonts w:hint="eastAsia" w:ascii="仿宋" w:hAnsi="仿宋" w:eastAsia="仿宋" w:cs="仿宋"/>
                <w:color w:val="auto"/>
                <w:sz w:val="21"/>
                <w:szCs w:val="21"/>
                <w:highlight w:val="none"/>
              </w:rPr>
              <w:t>人员资格、项目班子配备合理性和完整性等。优得5分，良得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无人员配备得0</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p>
        </w:tc>
        <w:tc>
          <w:tcPr>
            <w:tcW w:w="806" w:type="dxa"/>
            <w:vAlign w:val="center"/>
          </w:tcPr>
          <w:p w14:paraId="3D6EBFD2">
            <w:pPr>
              <w:pStyle w:val="34"/>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r>
      <w:tr w14:paraId="4C47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026" w:type="dxa"/>
            <w:vMerge w:val="continue"/>
            <w:vAlign w:val="center"/>
          </w:tcPr>
          <w:p w14:paraId="6893B5DE">
            <w:pPr>
              <w:pStyle w:val="34"/>
              <w:ind w:firstLine="0" w:firstLineChars="0"/>
              <w:jc w:val="center"/>
              <w:rPr>
                <w:rFonts w:ascii="仿宋" w:hAnsi="仿宋" w:eastAsia="仿宋" w:cs="仿宋"/>
                <w:color w:val="auto"/>
                <w:sz w:val="21"/>
                <w:szCs w:val="21"/>
                <w:highlight w:val="none"/>
              </w:rPr>
            </w:pPr>
          </w:p>
        </w:tc>
        <w:tc>
          <w:tcPr>
            <w:tcW w:w="1062" w:type="dxa"/>
            <w:vAlign w:val="center"/>
          </w:tcPr>
          <w:p w14:paraId="184AEB7A">
            <w:pPr>
              <w:pStyle w:val="34"/>
              <w:ind w:firstLine="0" w:firstLineChars="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重难点分析</w:t>
            </w:r>
          </w:p>
        </w:tc>
        <w:tc>
          <w:tcPr>
            <w:tcW w:w="6625" w:type="dxa"/>
            <w:vAlign w:val="center"/>
          </w:tcPr>
          <w:p w14:paraId="20E70330">
            <w:pPr>
              <w:widowControl/>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对项目的重、难点分析及保证措施是否具有针对性、全面性、可实施性等横向对比酌情打分。优得5分，良得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无重难点分析得0</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val="en-US" w:eastAsia="zh-CN"/>
              </w:rPr>
              <w:t>。</w:t>
            </w:r>
          </w:p>
        </w:tc>
        <w:tc>
          <w:tcPr>
            <w:tcW w:w="806" w:type="dxa"/>
            <w:vAlign w:val="center"/>
          </w:tcPr>
          <w:p w14:paraId="5A047A7D">
            <w:pPr>
              <w:pStyle w:val="34"/>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r>
      <w:tr w14:paraId="7ECD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026" w:type="dxa"/>
            <w:vMerge w:val="continue"/>
            <w:vAlign w:val="center"/>
          </w:tcPr>
          <w:p w14:paraId="2C7C7F91">
            <w:pPr>
              <w:pStyle w:val="34"/>
              <w:ind w:firstLine="0" w:firstLineChars="0"/>
              <w:rPr>
                <w:rFonts w:ascii="仿宋" w:hAnsi="仿宋" w:eastAsia="仿宋" w:cs="仿宋"/>
                <w:color w:val="auto"/>
                <w:sz w:val="21"/>
                <w:szCs w:val="21"/>
                <w:highlight w:val="none"/>
              </w:rPr>
            </w:pPr>
          </w:p>
        </w:tc>
        <w:tc>
          <w:tcPr>
            <w:tcW w:w="1062" w:type="dxa"/>
            <w:vAlign w:val="center"/>
          </w:tcPr>
          <w:p w14:paraId="07BF913C">
            <w:pPr>
              <w:pStyle w:val="34"/>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服务响应</w:t>
            </w:r>
          </w:p>
        </w:tc>
        <w:tc>
          <w:tcPr>
            <w:tcW w:w="6625" w:type="dxa"/>
            <w:vAlign w:val="center"/>
          </w:tcPr>
          <w:p w14:paraId="0B61477A">
            <w:pPr>
              <w:pStyle w:val="34"/>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确保对本工程的技术力量和响应速度，提供拟派</w:t>
            </w:r>
            <w:r>
              <w:rPr>
                <w:rFonts w:hint="eastAsia" w:ascii="仿宋" w:hAnsi="仿宋" w:eastAsia="仿宋" w:cs="仿宋"/>
                <w:color w:val="auto"/>
                <w:sz w:val="21"/>
                <w:szCs w:val="21"/>
                <w:highlight w:val="none"/>
                <w:lang w:val="en-US" w:eastAsia="zh-CN"/>
              </w:rPr>
              <w:t>人员</w:t>
            </w:r>
            <w:r>
              <w:rPr>
                <w:rFonts w:hint="eastAsia" w:ascii="仿宋" w:hAnsi="仿宋" w:eastAsia="仿宋" w:cs="仿宋"/>
                <w:color w:val="auto"/>
                <w:sz w:val="21"/>
                <w:szCs w:val="21"/>
                <w:highlight w:val="none"/>
              </w:rPr>
              <w:t>在收到招标人通知后能够到达施工现场的承诺响应速度及具体措施进行分档评分，优得5分，良得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无服务响应得0</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val="en-US" w:eastAsia="zh-CN"/>
              </w:rPr>
              <w:t>。</w:t>
            </w:r>
          </w:p>
        </w:tc>
        <w:tc>
          <w:tcPr>
            <w:tcW w:w="806" w:type="dxa"/>
            <w:vAlign w:val="center"/>
          </w:tcPr>
          <w:p w14:paraId="2A2E5E36">
            <w:pPr>
              <w:pStyle w:val="34"/>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r>
      <w:tr w14:paraId="2EAD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26" w:type="dxa"/>
            <w:vMerge w:val="continue"/>
            <w:vAlign w:val="center"/>
          </w:tcPr>
          <w:p w14:paraId="7F79BCF7">
            <w:pPr>
              <w:pStyle w:val="34"/>
              <w:ind w:firstLine="0" w:firstLineChars="0"/>
              <w:rPr>
                <w:rFonts w:ascii="仿宋" w:hAnsi="仿宋" w:eastAsia="仿宋" w:cs="仿宋"/>
                <w:color w:val="auto"/>
                <w:sz w:val="21"/>
                <w:szCs w:val="21"/>
                <w:highlight w:val="none"/>
              </w:rPr>
            </w:pPr>
          </w:p>
        </w:tc>
        <w:tc>
          <w:tcPr>
            <w:tcW w:w="1062" w:type="dxa"/>
            <w:vAlign w:val="center"/>
          </w:tcPr>
          <w:p w14:paraId="5C267BFF">
            <w:pPr>
              <w:pStyle w:val="34"/>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应急处理方案</w:t>
            </w:r>
          </w:p>
        </w:tc>
        <w:tc>
          <w:tcPr>
            <w:tcW w:w="6625" w:type="dxa"/>
            <w:vAlign w:val="center"/>
          </w:tcPr>
          <w:p w14:paraId="5106CB62">
            <w:pPr>
              <w:widowControl/>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提供的应急体系组织机构人员配备是否合理，职责是否明确。是否有相应的指挥机制和响应机制。是否有详尽的措施预案，且方法合理可行、计划周密，并且能针对不同的突发事件编制不同的预案</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优得5分，良得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无应急处理方案得0分。</w:t>
            </w:r>
          </w:p>
        </w:tc>
        <w:tc>
          <w:tcPr>
            <w:tcW w:w="806" w:type="dxa"/>
            <w:vAlign w:val="center"/>
          </w:tcPr>
          <w:p w14:paraId="319185F8">
            <w:pPr>
              <w:pStyle w:val="34"/>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5</w:t>
            </w:r>
          </w:p>
        </w:tc>
      </w:tr>
      <w:tr w14:paraId="25C4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026" w:type="dxa"/>
            <w:vMerge w:val="continue"/>
            <w:vAlign w:val="center"/>
          </w:tcPr>
          <w:p w14:paraId="4D0D661D">
            <w:pPr>
              <w:pStyle w:val="34"/>
              <w:ind w:firstLine="0" w:firstLineChars="0"/>
              <w:rPr>
                <w:rFonts w:ascii="仿宋" w:hAnsi="仿宋" w:eastAsia="仿宋" w:cs="仿宋"/>
                <w:color w:val="auto"/>
                <w:sz w:val="21"/>
                <w:szCs w:val="21"/>
                <w:highlight w:val="none"/>
              </w:rPr>
            </w:pPr>
          </w:p>
        </w:tc>
        <w:tc>
          <w:tcPr>
            <w:tcW w:w="1062" w:type="dxa"/>
            <w:vAlign w:val="center"/>
          </w:tcPr>
          <w:p w14:paraId="1A559F0A">
            <w:pPr>
              <w:pStyle w:val="34"/>
              <w:ind w:firstLine="0" w:firstLineChars="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成本控制</w:t>
            </w:r>
          </w:p>
        </w:tc>
        <w:tc>
          <w:tcPr>
            <w:tcW w:w="6625" w:type="dxa"/>
            <w:vAlign w:val="center"/>
          </w:tcPr>
          <w:p w14:paraId="3F6DA178">
            <w:pPr>
              <w:pStyle w:val="34"/>
              <w:ind w:firstLine="0" w:firstLineChars="0"/>
              <w:rPr>
                <w:rFonts w:ascii="仿宋" w:hAnsi="仿宋" w:eastAsia="仿宋" w:cs="仿宋"/>
                <w:color w:val="auto"/>
                <w:sz w:val="21"/>
                <w:szCs w:val="21"/>
                <w:highlight w:val="none"/>
              </w:rPr>
            </w:pPr>
            <w:r>
              <w:rPr>
                <w:rFonts w:ascii="仿宋" w:hAnsi="仿宋" w:eastAsia="仿宋" w:cs="仿宋"/>
                <w:color w:val="auto"/>
                <w:sz w:val="21"/>
                <w:szCs w:val="21"/>
                <w:highlight w:val="none"/>
              </w:rPr>
              <w:t>有效控制规模和投资，达到经济实用目的。</w:t>
            </w:r>
            <w:r>
              <w:rPr>
                <w:rFonts w:hint="eastAsia" w:ascii="仿宋" w:hAnsi="仿宋" w:eastAsia="仿宋" w:cs="仿宋"/>
                <w:color w:val="auto"/>
                <w:sz w:val="21"/>
                <w:szCs w:val="21"/>
                <w:highlight w:val="none"/>
              </w:rPr>
              <w:t>优得</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分，良得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分，差</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无成本控制措施得0</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val="en-US" w:eastAsia="zh-CN"/>
              </w:rPr>
              <w:t>。</w:t>
            </w:r>
          </w:p>
        </w:tc>
        <w:tc>
          <w:tcPr>
            <w:tcW w:w="806" w:type="dxa"/>
            <w:vAlign w:val="center"/>
          </w:tcPr>
          <w:p w14:paraId="6CC268F6">
            <w:pPr>
              <w:pStyle w:val="34"/>
              <w:ind w:firstLine="0" w:firstLineChars="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w:t>
            </w:r>
          </w:p>
        </w:tc>
      </w:tr>
    </w:tbl>
    <w:p w14:paraId="4545C498">
      <w:pPr>
        <w:spacing w:line="40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6990BD26">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评审委员会成员按照上述</w:t>
      </w:r>
      <w:bookmarkStart w:id="43" w:name="OLE_LINK1"/>
      <w:r>
        <w:rPr>
          <w:rFonts w:hint="eastAsia" w:ascii="仿宋" w:hAnsi="仿宋" w:eastAsia="仿宋" w:cs="仿宋"/>
          <w:color w:val="auto"/>
          <w:sz w:val="24"/>
          <w:szCs w:val="24"/>
          <w:highlight w:val="none"/>
        </w:rPr>
        <w:t>评分细则中的每项内容</w:t>
      </w:r>
      <w:bookmarkEnd w:id="43"/>
      <w:r>
        <w:rPr>
          <w:rFonts w:hint="eastAsia" w:ascii="仿宋" w:hAnsi="仿宋" w:eastAsia="仿宋" w:cs="仿宋"/>
          <w:color w:val="auto"/>
          <w:sz w:val="24"/>
          <w:szCs w:val="24"/>
          <w:highlight w:val="none"/>
        </w:rPr>
        <w:t>，单独评审打分。取所有评委评分的算术平均值为投标人“技术方案”的得分，所有涉及得分计算的结果均保留小数点后两位，第三位四舍五入。投标人编制的技术方案内容须与上述评分细则中的每项内容对应。</w:t>
      </w:r>
    </w:p>
    <w:p w14:paraId="0174D7CB">
      <w:pPr>
        <w:spacing w:line="360" w:lineRule="auto"/>
        <w:ind w:firstLine="480"/>
        <w:jc w:val="center"/>
        <w:rPr>
          <w:rFonts w:ascii="仿宋" w:hAnsi="仿宋" w:eastAsia="仿宋" w:cs="仿宋"/>
          <w:b/>
          <w:color w:val="auto"/>
          <w:sz w:val="24"/>
          <w:szCs w:val="24"/>
          <w:highlight w:val="none"/>
        </w:rPr>
      </w:pPr>
    </w:p>
    <w:p w14:paraId="230BB358">
      <w:pPr>
        <w:spacing w:line="360" w:lineRule="auto"/>
        <w:ind w:firstLine="480"/>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【Ⅱ】企业综合实力评分细则（满分</w:t>
      </w:r>
      <w:r>
        <w:rPr>
          <w:rFonts w:hint="eastAsia" w:ascii="仿宋" w:hAnsi="仿宋" w:eastAsia="仿宋" w:cs="仿宋"/>
          <w:b/>
          <w:color w:val="auto"/>
          <w:sz w:val="24"/>
          <w:szCs w:val="24"/>
          <w:highlight w:val="none"/>
          <w:lang w:val="en-US" w:eastAsia="zh-CN"/>
        </w:rPr>
        <w:t>36</w:t>
      </w:r>
      <w:r>
        <w:rPr>
          <w:rFonts w:hint="eastAsia" w:ascii="仿宋" w:hAnsi="仿宋" w:eastAsia="仿宋" w:cs="仿宋"/>
          <w:b/>
          <w:color w:val="auto"/>
          <w:sz w:val="24"/>
          <w:szCs w:val="24"/>
          <w:highlight w:val="none"/>
        </w:rPr>
        <w:t>分）</w:t>
      </w:r>
    </w:p>
    <w:tbl>
      <w:tblPr>
        <w:tblStyle w:val="36"/>
        <w:tblpPr w:leftFromText="180" w:rightFromText="180" w:vertAnchor="text" w:horzAnchor="page" w:tblpX="1352" w:tblpY="471"/>
        <w:tblOverlap w:val="never"/>
        <w:tblW w:w="9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8011"/>
        <w:gridCol w:w="759"/>
      </w:tblGrid>
      <w:tr w14:paraId="7949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88" w:type="dxa"/>
            <w:vAlign w:val="center"/>
          </w:tcPr>
          <w:p w14:paraId="40749BDC">
            <w:pPr>
              <w:spacing w:line="400" w:lineRule="exact"/>
              <w:jc w:val="center"/>
              <w:rPr>
                <w:rFonts w:hint="eastAsia"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评审</w:t>
            </w:r>
          </w:p>
          <w:p w14:paraId="2F7F5254">
            <w:pPr>
              <w:spacing w:line="400" w:lineRule="exact"/>
              <w:jc w:val="center"/>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因素</w:t>
            </w:r>
          </w:p>
        </w:tc>
        <w:tc>
          <w:tcPr>
            <w:tcW w:w="8011" w:type="dxa"/>
            <w:vAlign w:val="center"/>
          </w:tcPr>
          <w:p w14:paraId="3DBB905B">
            <w:pPr>
              <w:spacing w:line="400" w:lineRule="exact"/>
              <w:jc w:val="center"/>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评分标准</w:t>
            </w:r>
          </w:p>
        </w:tc>
        <w:tc>
          <w:tcPr>
            <w:tcW w:w="759" w:type="dxa"/>
            <w:vAlign w:val="center"/>
          </w:tcPr>
          <w:p w14:paraId="1CD60629">
            <w:pPr>
              <w:spacing w:line="400" w:lineRule="exact"/>
              <w:jc w:val="center"/>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分值</w:t>
            </w:r>
          </w:p>
        </w:tc>
      </w:tr>
      <w:tr w14:paraId="3321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trPr>
        <w:tc>
          <w:tcPr>
            <w:tcW w:w="888" w:type="dxa"/>
            <w:vAlign w:val="center"/>
          </w:tcPr>
          <w:p w14:paraId="2104830B">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企业</w:t>
            </w:r>
            <w:bookmarkStart w:id="108" w:name="_GoBack"/>
            <w:r>
              <w:rPr>
                <w:rFonts w:hint="eastAsia" w:ascii="仿宋" w:hAnsi="仿宋" w:eastAsia="仿宋" w:cs="仿宋"/>
                <w:color w:val="auto"/>
                <w:w w:val="90"/>
                <w:sz w:val="24"/>
                <w:szCs w:val="24"/>
                <w:highlight w:val="none"/>
              </w:rPr>
              <w:t>业绩</w:t>
            </w:r>
            <w:bookmarkEnd w:id="108"/>
          </w:p>
        </w:tc>
        <w:tc>
          <w:tcPr>
            <w:tcW w:w="8011" w:type="dxa"/>
            <w:vAlign w:val="center"/>
          </w:tcPr>
          <w:p w14:paraId="5BC79104">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投标人自202</w:t>
            </w:r>
            <w:r>
              <w:rPr>
                <w:rFonts w:hint="eastAsia" w:ascii="仿宋" w:hAnsi="仿宋" w:eastAsia="仿宋" w:cs="仿宋"/>
                <w:color w:val="auto"/>
                <w:w w:val="90"/>
                <w:sz w:val="24"/>
                <w:szCs w:val="24"/>
                <w:highlight w:val="none"/>
                <w:lang w:val="en-US" w:eastAsia="zh-CN"/>
              </w:rPr>
              <w:t>0</w:t>
            </w:r>
            <w:r>
              <w:rPr>
                <w:rFonts w:hint="eastAsia" w:ascii="仿宋" w:hAnsi="仿宋" w:eastAsia="仿宋" w:cs="仿宋"/>
                <w:color w:val="auto"/>
                <w:w w:val="90"/>
                <w:sz w:val="24"/>
                <w:szCs w:val="24"/>
                <w:highlight w:val="none"/>
              </w:rPr>
              <w:t>年1月1日</w:t>
            </w:r>
            <w:r>
              <w:rPr>
                <w:rFonts w:hint="eastAsia" w:ascii="仿宋" w:hAnsi="仿宋" w:eastAsia="仿宋" w:cs="仿宋"/>
                <w:color w:val="auto"/>
                <w:sz w:val="24"/>
                <w:highlight w:val="none"/>
              </w:rPr>
              <w:t>至今</w:t>
            </w:r>
            <w:r>
              <w:rPr>
                <w:rFonts w:hint="eastAsia" w:ascii="仿宋" w:hAnsi="仿宋" w:eastAsia="仿宋" w:cs="仿宋"/>
                <w:color w:val="auto"/>
                <w:w w:val="90"/>
                <w:sz w:val="24"/>
                <w:szCs w:val="24"/>
                <w:highlight w:val="none"/>
              </w:rPr>
              <w:t>（以委托设计合同发包人单位签署的时间为准），承担过</w:t>
            </w:r>
            <w:r>
              <w:rPr>
                <w:rFonts w:hint="eastAsia" w:ascii="仿宋" w:hAnsi="仿宋" w:eastAsia="仿宋" w:cs="仿宋"/>
                <w:color w:val="auto"/>
                <w:sz w:val="24"/>
                <w:highlight w:val="none"/>
                <w:lang w:val="en-US" w:eastAsia="zh-CN"/>
              </w:rPr>
              <w:t>电压等级在500kV及以上</w:t>
            </w:r>
            <w:r>
              <w:rPr>
                <w:rFonts w:hint="eastAsia" w:ascii="仿宋" w:hAnsi="仿宋" w:eastAsia="仿宋" w:cs="仿宋"/>
                <w:color w:val="auto"/>
                <w:w w:val="90"/>
                <w:sz w:val="24"/>
                <w:szCs w:val="24"/>
                <w:highlight w:val="none"/>
              </w:rPr>
              <w:t>（以委托设计合同载明为准）</w:t>
            </w:r>
            <w:r>
              <w:rPr>
                <w:rFonts w:hint="eastAsia" w:ascii="仿宋" w:hAnsi="仿宋" w:eastAsia="仿宋" w:cs="仿宋"/>
                <w:color w:val="auto"/>
                <w:w w:val="90"/>
                <w:sz w:val="24"/>
                <w:szCs w:val="24"/>
                <w:highlight w:val="none"/>
                <w:lang w:val="en-US" w:eastAsia="zh-CN"/>
              </w:rPr>
              <w:t>工程</w:t>
            </w:r>
            <w:r>
              <w:rPr>
                <w:rFonts w:hint="eastAsia" w:ascii="仿宋" w:hAnsi="仿宋" w:eastAsia="仿宋" w:cs="仿宋"/>
                <w:color w:val="auto"/>
                <w:w w:val="90"/>
                <w:sz w:val="24"/>
                <w:szCs w:val="24"/>
                <w:highlight w:val="none"/>
              </w:rPr>
              <w:t>设计业绩，每提供一项业绩证明资料的得5分，满分</w:t>
            </w:r>
            <w:r>
              <w:rPr>
                <w:rFonts w:hint="eastAsia" w:ascii="仿宋" w:hAnsi="仿宋" w:eastAsia="仿宋" w:cs="仿宋"/>
                <w:color w:val="auto"/>
                <w:w w:val="90"/>
                <w:sz w:val="24"/>
                <w:szCs w:val="24"/>
                <w:highlight w:val="none"/>
                <w:lang w:val="en-US" w:eastAsia="zh-CN"/>
              </w:rPr>
              <w:t>2</w:t>
            </w:r>
            <w:r>
              <w:rPr>
                <w:rFonts w:hint="eastAsia" w:ascii="仿宋" w:hAnsi="仿宋" w:eastAsia="仿宋" w:cs="仿宋"/>
                <w:color w:val="auto"/>
                <w:w w:val="90"/>
                <w:sz w:val="24"/>
                <w:szCs w:val="24"/>
                <w:highlight w:val="none"/>
              </w:rPr>
              <w:t>0分。该业绩证明材料须提供业绩合同的关键页。</w:t>
            </w:r>
          </w:p>
          <w:p w14:paraId="7698D3B0">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注：若委托设计合同中不能完整反映相关内容（如设计内容、规模等），则必须提供发包人有关书面证明材料。以上相关证明资料扫描件（包含复印件或影印件）加盖投标单位公章装订在投标文件技术标内。</w:t>
            </w:r>
          </w:p>
        </w:tc>
        <w:tc>
          <w:tcPr>
            <w:tcW w:w="759" w:type="dxa"/>
            <w:vAlign w:val="center"/>
          </w:tcPr>
          <w:p w14:paraId="05746BB2">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lang w:val="en-US" w:eastAsia="zh-CN"/>
              </w:rPr>
              <w:t>2</w:t>
            </w:r>
            <w:r>
              <w:rPr>
                <w:rFonts w:hint="eastAsia" w:ascii="仿宋" w:hAnsi="仿宋" w:eastAsia="仿宋" w:cs="仿宋"/>
                <w:color w:val="auto"/>
                <w:w w:val="90"/>
                <w:sz w:val="24"/>
                <w:szCs w:val="24"/>
                <w:highlight w:val="none"/>
              </w:rPr>
              <w:t>0</w:t>
            </w:r>
          </w:p>
        </w:tc>
      </w:tr>
      <w:tr w14:paraId="4721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trPr>
        <w:tc>
          <w:tcPr>
            <w:tcW w:w="888" w:type="dxa"/>
            <w:vAlign w:val="center"/>
          </w:tcPr>
          <w:p w14:paraId="3C78A922">
            <w:pPr>
              <w:spacing w:line="400" w:lineRule="exact"/>
              <w:rPr>
                <w:rFonts w:hint="default" w:ascii="仿宋" w:hAnsi="仿宋" w:eastAsia="仿宋" w:cs="仿宋"/>
                <w:color w:val="auto"/>
                <w:w w:val="90"/>
                <w:sz w:val="24"/>
                <w:szCs w:val="24"/>
                <w:highlight w:val="none"/>
                <w:lang w:val="en-US" w:eastAsia="zh-CN"/>
              </w:rPr>
            </w:pPr>
            <w:r>
              <w:rPr>
                <w:rFonts w:hint="eastAsia" w:ascii="仿宋" w:hAnsi="仿宋" w:eastAsia="仿宋" w:cs="仿宋"/>
                <w:color w:val="auto"/>
                <w:w w:val="90"/>
                <w:sz w:val="24"/>
                <w:szCs w:val="24"/>
                <w:highlight w:val="none"/>
                <w:lang w:val="en-US" w:eastAsia="zh-CN"/>
              </w:rPr>
              <w:t>项目负责人业绩</w:t>
            </w:r>
          </w:p>
        </w:tc>
        <w:tc>
          <w:tcPr>
            <w:tcW w:w="8011" w:type="dxa"/>
            <w:vAlign w:val="center"/>
          </w:tcPr>
          <w:p w14:paraId="0500B963">
            <w:pPr>
              <w:spacing w:line="400" w:lineRule="exact"/>
              <w:rPr>
                <w:rFonts w:hint="eastAsia" w:ascii="仿宋" w:hAnsi="仿宋" w:eastAsia="仿宋" w:cs="仿宋"/>
                <w:color w:val="auto"/>
                <w:w w:val="90"/>
                <w:sz w:val="24"/>
                <w:szCs w:val="24"/>
                <w:highlight w:val="none"/>
                <w:lang w:val="en-US" w:eastAsia="zh-CN"/>
              </w:rPr>
            </w:pPr>
            <w:r>
              <w:rPr>
                <w:rFonts w:hint="eastAsia" w:ascii="仿宋" w:hAnsi="仿宋" w:eastAsia="仿宋" w:cs="仿宋"/>
                <w:color w:val="auto"/>
                <w:w w:val="90"/>
                <w:sz w:val="24"/>
                <w:szCs w:val="24"/>
                <w:highlight w:val="none"/>
                <w:lang w:val="en-US" w:eastAsia="zh-CN"/>
              </w:rPr>
              <w:t>投标人拟派项目经理承担过电压等级在500kV及以上（以委托设计合同载明为准）工程设计业绩。每提供一个得5分，满分10分。</w:t>
            </w:r>
            <w:r>
              <w:rPr>
                <w:rFonts w:hint="eastAsia" w:ascii="仿宋" w:hAnsi="仿宋" w:eastAsia="仿宋" w:cs="仿宋"/>
                <w:color w:val="auto"/>
                <w:w w:val="90"/>
                <w:sz w:val="24"/>
                <w:szCs w:val="24"/>
                <w:highlight w:val="none"/>
              </w:rPr>
              <w:t>该业绩证明材料须提供业绩合同的关键页。</w:t>
            </w:r>
          </w:p>
          <w:p w14:paraId="680461A7">
            <w:pPr>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w:t>
            </w:r>
            <w:r>
              <w:rPr>
                <w:rFonts w:hint="eastAsia" w:ascii="仿宋" w:hAnsi="仿宋" w:eastAsia="仿宋" w:cs="仿宋"/>
                <w:b/>
                <w:bCs/>
                <w:color w:val="auto"/>
                <w:sz w:val="24"/>
                <w:highlight w:val="none"/>
              </w:rPr>
              <w:t>所拟派的项目经理在提供的业绩中也应为项目经理</w:t>
            </w:r>
            <w:r>
              <w:rPr>
                <w:rFonts w:hint="eastAsia" w:ascii="仿宋" w:hAnsi="仿宋" w:eastAsia="仿宋" w:cs="仿宋"/>
                <w:b/>
                <w:bCs/>
                <w:color w:val="auto"/>
                <w:sz w:val="24"/>
                <w:highlight w:val="none"/>
                <w:lang w:eastAsia="zh-CN"/>
              </w:rPr>
              <w:t>，</w:t>
            </w:r>
            <w:r>
              <w:rPr>
                <w:rFonts w:hint="eastAsia" w:ascii="仿宋" w:hAnsi="仿宋" w:eastAsia="仿宋" w:cs="仿宋"/>
                <w:color w:val="auto"/>
                <w:sz w:val="24"/>
                <w:highlight w:val="none"/>
                <w:lang w:val="en-US" w:eastAsia="zh-CN"/>
              </w:rPr>
              <w:t>若委托设计合同中</w:t>
            </w:r>
            <w:r>
              <w:rPr>
                <w:rFonts w:hint="eastAsia" w:ascii="仿宋" w:hAnsi="仿宋" w:eastAsia="仿宋" w:cs="仿宋"/>
                <w:color w:val="auto"/>
                <w:w w:val="90"/>
                <w:sz w:val="24"/>
                <w:szCs w:val="24"/>
                <w:highlight w:val="none"/>
              </w:rPr>
              <w:t>不能完整反映相关内容（如设计内容、规模</w:t>
            </w:r>
            <w:r>
              <w:rPr>
                <w:rFonts w:hint="eastAsia" w:ascii="仿宋" w:hAnsi="仿宋" w:eastAsia="仿宋" w:cs="仿宋"/>
                <w:color w:val="auto"/>
                <w:w w:val="90"/>
                <w:sz w:val="24"/>
                <w:szCs w:val="24"/>
                <w:highlight w:val="none"/>
                <w:lang w:eastAsia="zh-CN"/>
              </w:rPr>
              <w:t>、</w:t>
            </w:r>
            <w:r>
              <w:rPr>
                <w:rFonts w:hint="eastAsia" w:ascii="仿宋" w:hAnsi="仿宋" w:eastAsia="仿宋" w:cs="仿宋"/>
                <w:color w:val="auto"/>
                <w:w w:val="90"/>
                <w:sz w:val="24"/>
                <w:szCs w:val="24"/>
                <w:highlight w:val="none"/>
                <w:lang w:val="en-US" w:eastAsia="zh-CN"/>
              </w:rPr>
              <w:t>项目经理姓名</w:t>
            </w:r>
            <w:r>
              <w:rPr>
                <w:rFonts w:hint="eastAsia" w:ascii="仿宋" w:hAnsi="仿宋" w:eastAsia="仿宋" w:cs="仿宋"/>
                <w:color w:val="auto"/>
                <w:w w:val="90"/>
                <w:sz w:val="24"/>
                <w:szCs w:val="24"/>
                <w:highlight w:val="none"/>
              </w:rPr>
              <w:t>等）则必须提供发包人有关书面证明材料。以上相关证明资料扫描件（包含复印件或影印件）加盖投标单位公章装订在投标文件技术标内。</w:t>
            </w:r>
            <w:r>
              <w:rPr>
                <w:rFonts w:hint="eastAsia" w:ascii="仿宋" w:hAnsi="仿宋" w:eastAsia="仿宋" w:cs="仿宋"/>
                <w:color w:val="auto"/>
                <w:w w:val="90"/>
                <w:sz w:val="24"/>
                <w:szCs w:val="24"/>
                <w:highlight w:val="none"/>
                <w:lang w:val="en-US" w:eastAsia="zh-CN"/>
              </w:rPr>
              <w:t>项目负责人业绩与企业业绩可重复。</w:t>
            </w:r>
          </w:p>
        </w:tc>
        <w:tc>
          <w:tcPr>
            <w:tcW w:w="759" w:type="dxa"/>
            <w:vAlign w:val="center"/>
          </w:tcPr>
          <w:p w14:paraId="27486241">
            <w:pPr>
              <w:spacing w:line="400" w:lineRule="exact"/>
              <w:rPr>
                <w:rFonts w:hint="default" w:ascii="仿宋" w:hAnsi="仿宋" w:eastAsia="仿宋" w:cs="仿宋"/>
                <w:color w:val="auto"/>
                <w:w w:val="90"/>
                <w:sz w:val="24"/>
                <w:szCs w:val="24"/>
                <w:highlight w:val="none"/>
                <w:lang w:val="en-US" w:eastAsia="zh-CN"/>
              </w:rPr>
            </w:pPr>
            <w:r>
              <w:rPr>
                <w:rFonts w:hint="eastAsia" w:ascii="仿宋" w:hAnsi="仿宋" w:eastAsia="仿宋" w:cs="仿宋"/>
                <w:color w:val="auto"/>
                <w:w w:val="90"/>
                <w:sz w:val="24"/>
                <w:szCs w:val="24"/>
                <w:highlight w:val="none"/>
                <w:lang w:val="en-US" w:eastAsia="zh-CN"/>
              </w:rPr>
              <w:t>10</w:t>
            </w:r>
          </w:p>
        </w:tc>
      </w:tr>
      <w:tr w14:paraId="3473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888" w:type="dxa"/>
            <w:vAlign w:val="center"/>
          </w:tcPr>
          <w:p w14:paraId="75DBDDA1">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企业综合实力</w:t>
            </w:r>
          </w:p>
        </w:tc>
        <w:tc>
          <w:tcPr>
            <w:tcW w:w="8011" w:type="dxa"/>
            <w:vAlign w:val="center"/>
          </w:tcPr>
          <w:p w14:paraId="018041C4">
            <w:pPr>
              <w:spacing w:line="400" w:lineRule="exact"/>
              <w:rPr>
                <w:rFonts w:hint="eastAsia"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投标人具有有效期内的经中国国家认证认可监督管理委员会认可的认证机构颁发的ISO9001质量管理体系认证、OHSAS18001或ISO45001职业健康安全管理体系认证、ISO14001环境管理体系认证，每提供1个得2分，满分6分。</w:t>
            </w:r>
          </w:p>
          <w:p w14:paraId="04CB5A97">
            <w:pPr>
              <w:spacing w:line="400" w:lineRule="exact"/>
              <w:rPr>
                <w:rFonts w:ascii="仿宋" w:hAnsi="仿宋" w:eastAsia="仿宋" w:cs="仿宋"/>
                <w:color w:val="auto"/>
                <w:w w:val="90"/>
                <w:sz w:val="24"/>
                <w:szCs w:val="24"/>
                <w:highlight w:val="none"/>
              </w:rPr>
            </w:pPr>
            <w:r>
              <w:rPr>
                <w:rFonts w:hint="eastAsia" w:ascii="仿宋" w:hAnsi="仿宋" w:eastAsia="仿宋" w:cs="仿宋"/>
                <w:color w:val="auto"/>
                <w:w w:val="90"/>
                <w:sz w:val="24"/>
                <w:szCs w:val="24"/>
                <w:highlight w:val="none"/>
              </w:rPr>
              <w:t>注：以上相关证书扫描件（包含复印件或影印件）加盖投标单位公章装订在投标文件技术标内。</w:t>
            </w:r>
          </w:p>
        </w:tc>
        <w:tc>
          <w:tcPr>
            <w:tcW w:w="759" w:type="dxa"/>
            <w:vAlign w:val="center"/>
          </w:tcPr>
          <w:p w14:paraId="3FE30AAA">
            <w:pPr>
              <w:spacing w:line="400" w:lineRule="exact"/>
              <w:rPr>
                <w:rFonts w:hint="eastAsia" w:ascii="仿宋" w:hAnsi="仿宋" w:eastAsia="仿宋" w:cs="仿宋"/>
                <w:color w:val="auto"/>
                <w:w w:val="90"/>
                <w:sz w:val="24"/>
                <w:szCs w:val="24"/>
                <w:highlight w:val="none"/>
                <w:lang w:eastAsia="zh-CN"/>
              </w:rPr>
            </w:pPr>
            <w:r>
              <w:rPr>
                <w:rFonts w:hint="eastAsia" w:ascii="仿宋" w:hAnsi="仿宋" w:eastAsia="仿宋" w:cs="仿宋"/>
                <w:color w:val="auto"/>
                <w:w w:val="90"/>
                <w:sz w:val="24"/>
                <w:szCs w:val="24"/>
                <w:highlight w:val="none"/>
                <w:lang w:val="en-US" w:eastAsia="zh-CN"/>
              </w:rPr>
              <w:t>6</w:t>
            </w:r>
          </w:p>
        </w:tc>
      </w:tr>
    </w:tbl>
    <w:p w14:paraId="126E6906">
      <w:pPr>
        <w:pStyle w:val="34"/>
        <w:ind w:firstLine="0" w:firstLineChars="0"/>
        <w:rPr>
          <w:rFonts w:ascii="仿宋" w:hAnsi="仿宋" w:eastAsia="仿宋" w:cs="仿宋"/>
          <w:bCs/>
          <w:color w:val="auto"/>
          <w:sz w:val="24"/>
          <w:szCs w:val="24"/>
          <w:highlight w:val="none"/>
        </w:rPr>
      </w:pPr>
      <w:r>
        <w:rPr>
          <w:rFonts w:hint="eastAsia" w:ascii="仿宋" w:hAnsi="仿宋" w:eastAsia="仿宋" w:cs="仿宋"/>
          <w:color w:val="auto"/>
          <w:sz w:val="21"/>
          <w:szCs w:val="21"/>
          <w:highlight w:val="none"/>
        </w:rPr>
        <w:br w:type="textWrapping"/>
      </w:r>
      <w:r>
        <w:rPr>
          <w:rFonts w:hint="eastAsia" w:ascii="仿宋" w:hAnsi="仿宋" w:eastAsia="仿宋" w:cs="仿宋"/>
          <w:bCs/>
          <w:color w:val="auto"/>
          <w:sz w:val="24"/>
          <w:szCs w:val="24"/>
          <w:highlight w:val="none"/>
        </w:rPr>
        <w:t>注：（1）未按要求提供的不予计分；</w:t>
      </w:r>
    </w:p>
    <w:p w14:paraId="3DB340F7">
      <w:pPr>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（2）投标企业业绩和相关荣誉，仅限以投标单位名称的法人（不含总公司或下属公司）所取得的业绩和相关荣誉称号、获奖；</w:t>
      </w:r>
    </w:p>
    <w:p w14:paraId="398C7656">
      <w:pPr>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（3）若投标单位名称等信息发生过变更，以至于影响到上述业绩和荣誉称号、获奖评审时，应提供投标企业注册所在地工商行政管理部门和行业管理部门共同出具的有效证明文件；</w:t>
      </w:r>
    </w:p>
    <w:p w14:paraId="4CDA824D">
      <w:pPr>
        <w:pStyle w:val="35"/>
        <w:ind w:left="400" w:firstLine="400"/>
        <w:rPr>
          <w:color w:val="auto"/>
          <w:highlight w:val="none"/>
        </w:rPr>
      </w:pPr>
    </w:p>
    <w:p w14:paraId="0901D775">
      <w:pPr>
        <w:pStyle w:val="55"/>
        <w:spacing w:line="520" w:lineRule="exact"/>
        <w:ind w:firstLine="482" w:firstLineChars="200"/>
        <w:jc w:val="center"/>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【Ⅲ】商务标评分细则（满分</w:t>
      </w:r>
      <w:r>
        <w:rPr>
          <w:rFonts w:hint="eastAsia" w:ascii="仿宋" w:hAnsi="仿宋" w:eastAsia="仿宋" w:cs="仿宋"/>
          <w:b/>
          <w:color w:val="auto"/>
          <w:sz w:val="24"/>
          <w:szCs w:val="24"/>
          <w:highlight w:val="none"/>
          <w:lang w:val="en-US" w:eastAsia="zh-CN"/>
        </w:rPr>
        <w:t>35</w:t>
      </w:r>
      <w:r>
        <w:rPr>
          <w:rFonts w:hint="eastAsia" w:ascii="仿宋" w:hAnsi="仿宋" w:eastAsia="仿宋" w:cs="仿宋"/>
          <w:b/>
          <w:color w:val="auto"/>
          <w:sz w:val="24"/>
          <w:szCs w:val="24"/>
          <w:highlight w:val="none"/>
        </w:rPr>
        <w:t>分）</w:t>
      </w:r>
    </w:p>
    <w:p w14:paraId="0E5C5639">
      <w:pPr>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1.</w:t>
      </w:r>
      <w:r>
        <w:rPr>
          <w:rFonts w:hint="eastAsia" w:ascii="仿宋" w:hAnsi="仿宋" w:eastAsia="仿宋" w:cs="仿宋"/>
          <w:bCs/>
          <w:color w:val="auto"/>
          <w:sz w:val="24"/>
          <w:szCs w:val="24"/>
          <w:highlight w:val="none"/>
        </w:rPr>
        <w:t>本次招标设招标控制价</w:t>
      </w:r>
      <w:r>
        <w:rPr>
          <w:rFonts w:hint="eastAsia" w:ascii="仿宋" w:hAnsi="仿宋" w:eastAsia="仿宋" w:cs="仿宋"/>
          <w:b/>
          <w:color w:val="auto"/>
          <w:sz w:val="24"/>
          <w:szCs w:val="24"/>
          <w:highlight w:val="none"/>
        </w:rPr>
        <w:t>A</w:t>
      </w:r>
      <w:r>
        <w:rPr>
          <w:rFonts w:hint="eastAsia" w:ascii="仿宋" w:hAnsi="仿宋" w:eastAsia="仿宋" w:cs="仿宋"/>
          <w:bCs/>
          <w:color w:val="auto"/>
          <w:sz w:val="24"/>
          <w:szCs w:val="24"/>
          <w:highlight w:val="none"/>
        </w:rPr>
        <w:t>值，经评委评审后的有效商务标的投标报价在</w:t>
      </w:r>
      <w:r>
        <w:rPr>
          <w:rFonts w:hint="eastAsia" w:ascii="仿宋" w:hAnsi="仿宋" w:eastAsia="仿宋" w:cs="仿宋"/>
          <w:b/>
          <w:color w:val="auto"/>
          <w:sz w:val="24"/>
          <w:szCs w:val="24"/>
          <w:highlight w:val="none"/>
        </w:rPr>
        <w:t>A</w:t>
      </w:r>
      <w:r>
        <w:rPr>
          <w:rFonts w:hint="eastAsia" w:ascii="仿宋" w:hAnsi="仿宋" w:eastAsia="仿宋" w:cs="仿宋"/>
          <w:bCs/>
          <w:color w:val="auto"/>
          <w:sz w:val="24"/>
          <w:szCs w:val="24"/>
          <w:highlight w:val="none"/>
        </w:rPr>
        <w:t>值以下范围内的投标单位家数为</w:t>
      </w:r>
      <w:r>
        <w:rPr>
          <w:rFonts w:hint="eastAsia" w:ascii="仿宋" w:hAnsi="仿宋" w:eastAsia="仿宋" w:cs="仿宋"/>
          <w:b/>
          <w:color w:val="auto"/>
          <w:sz w:val="24"/>
          <w:szCs w:val="24"/>
          <w:highlight w:val="none"/>
        </w:rPr>
        <w:t>M</w:t>
      </w:r>
      <w:r>
        <w:rPr>
          <w:rFonts w:hint="eastAsia" w:ascii="仿宋" w:hAnsi="仿宋" w:eastAsia="仿宋" w:cs="仿宋"/>
          <w:bCs/>
          <w:color w:val="auto"/>
          <w:sz w:val="24"/>
          <w:szCs w:val="24"/>
          <w:highlight w:val="none"/>
        </w:rPr>
        <w:t>，</w:t>
      </w:r>
      <w:r>
        <w:rPr>
          <w:rFonts w:hint="eastAsia" w:ascii="仿宋" w:hAnsi="仿宋" w:eastAsia="仿宋" w:cs="仿宋"/>
          <w:b/>
          <w:color w:val="auto"/>
          <w:sz w:val="24"/>
          <w:szCs w:val="24"/>
          <w:highlight w:val="none"/>
        </w:rPr>
        <w:t>M</w:t>
      </w:r>
      <w:r>
        <w:rPr>
          <w:rFonts w:hint="eastAsia" w:ascii="仿宋" w:hAnsi="仿宋" w:eastAsia="仿宋" w:cs="仿宋"/>
          <w:bCs/>
          <w:color w:val="auto"/>
          <w:sz w:val="24"/>
          <w:szCs w:val="24"/>
          <w:highlight w:val="none"/>
        </w:rPr>
        <w:t xml:space="preserve"> 家数中按由高到低顺序去掉报价高的</w:t>
      </w:r>
      <w:r>
        <w:rPr>
          <w:rFonts w:hint="eastAsia" w:ascii="仿宋" w:hAnsi="仿宋" w:eastAsia="仿宋" w:cs="仿宋"/>
          <w:b/>
          <w:color w:val="auto"/>
          <w:sz w:val="24"/>
          <w:szCs w:val="24"/>
          <w:highlight w:val="none"/>
        </w:rPr>
        <w:t xml:space="preserve"> M</w:t>
      </w:r>
      <w:r>
        <w:rPr>
          <w:rFonts w:hint="eastAsia" w:ascii="仿宋" w:hAnsi="仿宋" w:eastAsia="仿宋" w:cs="仿宋"/>
          <w:bCs/>
          <w:color w:val="auto"/>
          <w:sz w:val="24"/>
          <w:szCs w:val="24"/>
          <w:highlight w:val="none"/>
        </w:rPr>
        <w:t xml:space="preserve">×10%（四舍五入取整数）家和按由低到高顺序去掉报价低的 </w:t>
      </w:r>
      <w:r>
        <w:rPr>
          <w:rFonts w:hint="eastAsia" w:ascii="仿宋" w:hAnsi="仿宋" w:eastAsia="仿宋" w:cs="仿宋"/>
          <w:b/>
          <w:color w:val="auto"/>
          <w:sz w:val="24"/>
          <w:szCs w:val="24"/>
          <w:highlight w:val="none"/>
        </w:rPr>
        <w:t>M</w:t>
      </w:r>
      <w:r>
        <w:rPr>
          <w:rFonts w:hint="eastAsia" w:ascii="仿宋" w:hAnsi="仿宋" w:eastAsia="仿宋" w:cs="仿宋"/>
          <w:bCs/>
          <w:color w:val="auto"/>
          <w:sz w:val="24"/>
          <w:szCs w:val="24"/>
          <w:highlight w:val="none"/>
        </w:rPr>
        <w:t>×10%（四舍五入取整数）家后，在此范围内的所有投标报价取算术平均值为评标基准价</w:t>
      </w:r>
      <w:r>
        <w:rPr>
          <w:rFonts w:hint="eastAsia" w:ascii="仿宋" w:hAnsi="仿宋" w:eastAsia="仿宋" w:cs="仿宋"/>
          <w:b/>
          <w:color w:val="auto"/>
          <w:sz w:val="24"/>
          <w:szCs w:val="24"/>
          <w:highlight w:val="none"/>
        </w:rPr>
        <w:t xml:space="preserve"> B </w:t>
      </w:r>
      <w:r>
        <w:rPr>
          <w:rFonts w:hint="eastAsia" w:ascii="仿宋" w:hAnsi="仿宋" w:eastAsia="仿宋" w:cs="仿宋"/>
          <w:bCs/>
          <w:color w:val="auto"/>
          <w:sz w:val="24"/>
          <w:szCs w:val="24"/>
          <w:highlight w:val="none"/>
        </w:rPr>
        <w:t xml:space="preserve">值（当投标单位家数 </w:t>
      </w:r>
      <w:r>
        <w:rPr>
          <w:rFonts w:hint="eastAsia" w:ascii="仿宋" w:hAnsi="仿宋" w:eastAsia="仿宋" w:cs="仿宋"/>
          <w:b/>
          <w:color w:val="auto"/>
          <w:sz w:val="24"/>
          <w:szCs w:val="24"/>
          <w:highlight w:val="none"/>
        </w:rPr>
        <w:t>M</w:t>
      </w:r>
      <w:r>
        <w:rPr>
          <w:rFonts w:hint="eastAsia" w:ascii="仿宋" w:hAnsi="仿宋" w:eastAsia="仿宋" w:cs="仿宋"/>
          <w:bCs/>
          <w:color w:val="auto"/>
          <w:sz w:val="24"/>
          <w:szCs w:val="24"/>
          <w:highlight w:val="none"/>
        </w:rPr>
        <w:t>≤5 时，则取所有投标报价的算数平均值为评标基准价</w:t>
      </w:r>
      <w:r>
        <w:rPr>
          <w:rFonts w:hint="eastAsia" w:ascii="仿宋" w:hAnsi="仿宋" w:eastAsia="仿宋" w:cs="仿宋"/>
          <w:b/>
          <w:color w:val="auto"/>
          <w:sz w:val="24"/>
          <w:szCs w:val="24"/>
          <w:highlight w:val="none"/>
        </w:rPr>
        <w:t xml:space="preserve"> B </w:t>
      </w:r>
      <w:r>
        <w:rPr>
          <w:rFonts w:hint="eastAsia" w:ascii="仿宋" w:hAnsi="仿宋" w:eastAsia="仿宋" w:cs="仿宋"/>
          <w:bCs/>
          <w:color w:val="auto"/>
          <w:sz w:val="24"/>
          <w:szCs w:val="24"/>
          <w:highlight w:val="none"/>
        </w:rPr>
        <w:t>值）。投标人投标报价为</w:t>
      </w:r>
      <w:r>
        <w:rPr>
          <w:rFonts w:hint="eastAsia" w:ascii="仿宋" w:hAnsi="仿宋" w:eastAsia="仿宋" w:cs="仿宋"/>
          <w:b/>
          <w:color w:val="auto"/>
          <w:sz w:val="24"/>
          <w:szCs w:val="24"/>
          <w:highlight w:val="none"/>
        </w:rPr>
        <w:t>C</w:t>
      </w:r>
      <w:r>
        <w:rPr>
          <w:rFonts w:hint="eastAsia" w:ascii="仿宋" w:hAnsi="仿宋" w:eastAsia="仿宋" w:cs="仿宋"/>
          <w:bCs/>
          <w:color w:val="auto"/>
          <w:sz w:val="24"/>
          <w:szCs w:val="24"/>
          <w:highlight w:val="none"/>
        </w:rPr>
        <w:t>值。</w:t>
      </w:r>
    </w:p>
    <w:p w14:paraId="30713135">
      <w:pPr>
        <w:spacing w:line="360" w:lineRule="auto"/>
        <w:ind w:firstLine="480" w:firstLineChars="200"/>
        <w:jc w:val="left"/>
        <w:rPr>
          <w:color w:val="auto"/>
          <w:highlight w:val="none"/>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投标人报价</w:t>
      </w:r>
      <w:r>
        <w:rPr>
          <w:rFonts w:hint="eastAsia" w:ascii="仿宋" w:hAnsi="仿宋" w:eastAsia="仿宋" w:cs="仿宋"/>
          <w:b/>
          <w:color w:val="auto"/>
          <w:sz w:val="24"/>
          <w:szCs w:val="24"/>
          <w:highlight w:val="none"/>
        </w:rPr>
        <w:t>C</w:t>
      </w:r>
      <w:r>
        <w:rPr>
          <w:rFonts w:hint="eastAsia" w:ascii="仿宋" w:hAnsi="仿宋" w:eastAsia="仿宋" w:cs="仿宋"/>
          <w:bCs/>
          <w:color w:val="auto"/>
          <w:sz w:val="24"/>
          <w:szCs w:val="24"/>
          <w:highlight w:val="none"/>
        </w:rPr>
        <w:t>值等于评标基准价</w:t>
      </w:r>
      <w:r>
        <w:rPr>
          <w:rFonts w:hint="eastAsia" w:ascii="仿宋" w:hAnsi="仿宋" w:eastAsia="仿宋" w:cs="仿宋"/>
          <w:b/>
          <w:color w:val="auto"/>
          <w:sz w:val="24"/>
          <w:szCs w:val="24"/>
          <w:highlight w:val="none"/>
        </w:rPr>
        <w:t>B</w:t>
      </w:r>
      <w:r>
        <w:rPr>
          <w:rFonts w:hint="eastAsia" w:ascii="仿宋" w:hAnsi="仿宋" w:eastAsia="仿宋" w:cs="仿宋"/>
          <w:bCs/>
          <w:color w:val="auto"/>
          <w:sz w:val="24"/>
          <w:szCs w:val="24"/>
          <w:highlight w:val="none"/>
        </w:rPr>
        <w:t>值的，得满分</w:t>
      </w:r>
      <w:r>
        <w:rPr>
          <w:rFonts w:hint="eastAsia" w:ascii="仿宋" w:hAnsi="仿宋" w:eastAsia="仿宋" w:cs="仿宋"/>
          <w:bCs/>
          <w:color w:val="auto"/>
          <w:sz w:val="24"/>
          <w:szCs w:val="24"/>
          <w:highlight w:val="none"/>
          <w:lang w:val="en-US" w:eastAsia="zh-CN"/>
        </w:rPr>
        <w:t>35</w:t>
      </w:r>
      <w:r>
        <w:rPr>
          <w:rFonts w:hint="eastAsia" w:ascii="仿宋" w:hAnsi="仿宋" w:eastAsia="仿宋" w:cs="仿宋"/>
          <w:bCs/>
          <w:color w:val="auto"/>
          <w:sz w:val="24"/>
          <w:szCs w:val="24"/>
          <w:highlight w:val="none"/>
        </w:rPr>
        <w:t>分；投标报价</w:t>
      </w:r>
      <w:r>
        <w:rPr>
          <w:rFonts w:hint="eastAsia" w:ascii="仿宋" w:hAnsi="仿宋" w:eastAsia="仿宋" w:cs="仿宋"/>
          <w:b/>
          <w:color w:val="auto"/>
          <w:sz w:val="24"/>
          <w:szCs w:val="24"/>
          <w:highlight w:val="none"/>
        </w:rPr>
        <w:t>C</w:t>
      </w:r>
      <w:r>
        <w:rPr>
          <w:rFonts w:hint="eastAsia" w:ascii="仿宋" w:hAnsi="仿宋" w:eastAsia="仿宋" w:cs="仿宋"/>
          <w:bCs/>
          <w:color w:val="auto"/>
          <w:sz w:val="24"/>
          <w:szCs w:val="24"/>
          <w:highlight w:val="none"/>
        </w:rPr>
        <w:t>值每高于评标基准价</w:t>
      </w:r>
      <w:r>
        <w:rPr>
          <w:rFonts w:hint="eastAsia" w:ascii="仿宋" w:hAnsi="仿宋" w:eastAsia="仿宋" w:cs="仿宋"/>
          <w:b/>
          <w:color w:val="auto"/>
          <w:sz w:val="24"/>
          <w:szCs w:val="24"/>
          <w:highlight w:val="none"/>
        </w:rPr>
        <w:t>B</w:t>
      </w:r>
      <w:r>
        <w:rPr>
          <w:rFonts w:hint="eastAsia" w:ascii="仿宋" w:hAnsi="仿宋" w:eastAsia="仿宋" w:cs="仿宋"/>
          <w:bCs/>
          <w:color w:val="auto"/>
          <w:sz w:val="24"/>
          <w:szCs w:val="24"/>
          <w:highlight w:val="none"/>
        </w:rPr>
        <w:t>值1%的扣0.</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分，投标报价</w:t>
      </w:r>
      <w:r>
        <w:rPr>
          <w:rFonts w:hint="eastAsia" w:ascii="仿宋" w:hAnsi="仿宋" w:eastAsia="仿宋" w:cs="仿宋"/>
          <w:b/>
          <w:color w:val="auto"/>
          <w:sz w:val="24"/>
          <w:szCs w:val="24"/>
          <w:highlight w:val="none"/>
        </w:rPr>
        <w:t>C</w:t>
      </w:r>
      <w:r>
        <w:rPr>
          <w:rFonts w:hint="eastAsia" w:ascii="仿宋" w:hAnsi="仿宋" w:eastAsia="仿宋" w:cs="仿宋"/>
          <w:bCs/>
          <w:color w:val="auto"/>
          <w:sz w:val="24"/>
          <w:szCs w:val="24"/>
          <w:highlight w:val="none"/>
        </w:rPr>
        <w:t>值每低于评标基准价</w:t>
      </w:r>
      <w:r>
        <w:rPr>
          <w:rFonts w:hint="eastAsia" w:ascii="仿宋" w:hAnsi="仿宋" w:eastAsia="仿宋" w:cs="仿宋"/>
          <w:b/>
          <w:color w:val="auto"/>
          <w:sz w:val="24"/>
          <w:szCs w:val="24"/>
          <w:highlight w:val="none"/>
        </w:rPr>
        <w:t>B</w:t>
      </w:r>
      <w:r>
        <w:rPr>
          <w:rFonts w:hint="eastAsia" w:ascii="仿宋" w:hAnsi="仿宋" w:eastAsia="仿宋" w:cs="仿宋"/>
          <w:bCs/>
          <w:color w:val="auto"/>
          <w:sz w:val="24"/>
          <w:szCs w:val="24"/>
          <w:highlight w:val="none"/>
        </w:rPr>
        <w:t>值1%的扣0.</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分，不足1%的，按照直线插入法计算得分，扣完为止。所有涉及得分计算的结果均保留小数点后两位小数，第三位四舍五入。</w:t>
      </w:r>
    </w:p>
    <w:p w14:paraId="59F56433">
      <w:pPr>
        <w:pStyle w:val="55"/>
        <w:spacing w:line="520" w:lineRule="exact"/>
        <w:ind w:firstLine="482" w:firstLineChars="200"/>
        <w:jc w:val="center"/>
        <w:rPr>
          <w:rFonts w:ascii="仿宋" w:hAnsi="仿宋" w:eastAsia="仿宋" w:cs="仿宋"/>
          <w:b/>
          <w:color w:val="auto"/>
          <w:sz w:val="24"/>
          <w:szCs w:val="24"/>
          <w:highlight w:val="none"/>
        </w:rPr>
      </w:pPr>
    </w:p>
    <w:p w14:paraId="186DF96A">
      <w:pPr>
        <w:pStyle w:val="55"/>
        <w:spacing w:line="520" w:lineRule="exact"/>
        <w:ind w:firstLine="482" w:firstLineChars="200"/>
        <w:jc w:val="center"/>
        <w:rPr>
          <w:rFonts w:ascii="仿宋" w:hAnsi="仿宋" w:eastAsia="仿宋" w:cs="仿宋"/>
          <w:b/>
          <w:color w:val="auto"/>
          <w:sz w:val="24"/>
          <w:highlight w:val="none"/>
        </w:rPr>
      </w:pPr>
      <w:r>
        <w:rPr>
          <w:rFonts w:hint="eastAsia" w:ascii="仿宋" w:hAnsi="仿宋" w:eastAsia="仿宋" w:cs="仿宋"/>
          <w:b/>
          <w:color w:val="auto"/>
          <w:sz w:val="24"/>
          <w:szCs w:val="24"/>
          <w:highlight w:val="none"/>
        </w:rPr>
        <w:t>【5】企业信用评审</w:t>
      </w:r>
    </w:p>
    <w:p w14:paraId="61B19AA9">
      <w:pPr>
        <w:snapToGrid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评标委员会现场查询投标人诚信承诺书。</w:t>
      </w:r>
    </w:p>
    <w:p w14:paraId="0A80AC9A">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5.1行贿犯罪记录</w:t>
      </w:r>
    </w:p>
    <w:p w14:paraId="4AEE0C3B">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投标人自投标截止之日起前三年有行贿犯罪记录的，信用评审不合格。</w:t>
      </w:r>
    </w:p>
    <w:p w14:paraId="461E3604">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5.2限制投标的行政处罚、限制在本市承揽业务的行政处理</w:t>
      </w:r>
    </w:p>
    <w:p w14:paraId="245212BE">
      <w:pPr>
        <w:snapToGrid w:val="0"/>
        <w:spacing w:line="360" w:lineRule="auto"/>
        <w:ind w:firstLine="480" w:firstLineChars="200"/>
        <w:jc w:val="left"/>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投标人或项目经理“受到招投标行政监管部门（或政府行业监管部门）限制投标的行政处罚，受到政府行业监管部门限制在本市承揽业务的行政处理，至投标截止之日仍在处罚、处理期内的”，信用评审不合格。</w:t>
      </w:r>
    </w:p>
    <w:p w14:paraId="175B8D9E">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5.3在招投标活动中存在弄虚作假或串通投标等行为</w:t>
      </w:r>
    </w:p>
    <w:p w14:paraId="3A40FC0C">
      <w:pPr>
        <w:snapToGrid w:val="0"/>
        <w:spacing w:line="360" w:lineRule="auto"/>
        <w:ind w:firstLine="480" w:firstLineChars="200"/>
        <w:jc w:val="left"/>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投标人在招投标活动中因弄虚作假或串通投标等违法违规行为被处理，在“信用中国”网站仍处于公示期内的，其信用评审不合格。</w:t>
      </w:r>
    </w:p>
    <w:p w14:paraId="7E9C2F4C">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人力资源社会保障行政部门“失信名单”</w:t>
      </w:r>
    </w:p>
    <w:p w14:paraId="18F7255D">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人力资源社会保障行政部门列入信用铜陵“失信名单”信用评审不合格，此项以信用铜陵（http://xytl.tl.gov.cn/）“守信失信名单”栏目为准。</w:t>
      </w:r>
    </w:p>
    <w:p w14:paraId="3BFC0364">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联合体投标及其他情形的处理</w:t>
      </w:r>
    </w:p>
    <w:p w14:paraId="7BDCCFDF">
      <w:pPr>
        <w:snapToGrid w:val="0"/>
        <w:spacing w:line="360" w:lineRule="auto"/>
        <w:ind w:firstLine="480" w:firstLineChars="200"/>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联合体成员单位存在失信被执行人信息、行贿犯罪记录、限制投标（或在本市承揽业务）的行政处罚、拖欠农民工工资失信名单的，视为联合体存在相关情形。 </w:t>
      </w:r>
    </w:p>
    <w:p w14:paraId="59C67D37">
      <w:pPr>
        <w:snapToGrid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查询档案的保存</w:t>
      </w:r>
    </w:p>
    <w:p w14:paraId="5C6AAB93">
      <w:pPr>
        <w:widowControl w:val="0"/>
        <w:adjustRightInd w:val="0"/>
        <w:snapToGrid w:val="0"/>
        <w:spacing w:line="360" w:lineRule="auto"/>
        <w:ind w:firstLine="480" w:firstLineChars="200"/>
        <w:jc w:val="left"/>
        <w:textAlignment w:val="baseline"/>
        <w:rPr>
          <w:rFonts w:hint="eastAsia" w:ascii="仿宋" w:hAnsi="仿宋" w:eastAsia="仿宋" w:cs="仿宋"/>
          <w:bCs/>
          <w:color w:val="auto"/>
          <w:sz w:val="24"/>
          <w:highlight w:val="none"/>
          <w:lang w:val="en-US" w:eastAsia="zh-CN" w:bidi="ar-SA"/>
        </w:rPr>
      </w:pPr>
      <w:r>
        <w:rPr>
          <w:rFonts w:hint="eastAsia" w:ascii="仿宋" w:hAnsi="仿宋" w:eastAsia="仿宋" w:cs="仿宋"/>
          <w:bCs/>
          <w:color w:val="auto"/>
          <w:sz w:val="24"/>
          <w:highlight w:val="none"/>
          <w:lang w:val="en-US" w:eastAsia="zh-CN" w:bidi="ar-SA"/>
        </w:rPr>
        <w:t>联合体成员单位存在行贿犯罪记录、限制投标（或在本市承揽业务）的行政处罚、在招投标活动中存在弄虚作假或串通投标等行为、人力资源社会保障行政部门“失信名单”的，视为联合体存在相关情形。</w:t>
      </w:r>
    </w:p>
    <w:p w14:paraId="6B76792A">
      <w:pPr>
        <w:snapToGrid w:val="0"/>
        <w:spacing w:line="360" w:lineRule="auto"/>
        <w:ind w:firstLine="482" w:firstLineChars="200"/>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【6】定标</w:t>
      </w:r>
    </w:p>
    <w:p w14:paraId="336E3F6D">
      <w:pPr>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6.1投标人总得分=技术标得分+商务标得分（保留小数点后二位数字，第三位四舍五入）。</w:t>
      </w:r>
    </w:p>
    <w:p w14:paraId="2461A205">
      <w:pPr>
        <w:adjustRightInd/>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投标单位通过资格评审、技术标、商务标评审且总得分最高的，将作为第一中标候选人，以此类推，评标委员会将推荐有排序的</w:t>
      </w:r>
      <w:r>
        <w:rPr>
          <w:rFonts w:hint="eastAsia" w:ascii="仿宋" w:hAnsi="仿宋" w:eastAsia="仿宋" w:cs="仿宋"/>
          <w:b/>
          <w:color w:val="auto"/>
          <w:sz w:val="24"/>
          <w:szCs w:val="24"/>
          <w:highlight w:val="none"/>
        </w:rPr>
        <w:t>三名</w:t>
      </w:r>
      <w:r>
        <w:rPr>
          <w:rFonts w:hint="eastAsia" w:ascii="仿宋" w:hAnsi="仿宋" w:eastAsia="仿宋" w:cs="仿宋"/>
          <w:bCs/>
          <w:color w:val="auto"/>
          <w:sz w:val="24"/>
          <w:szCs w:val="24"/>
          <w:highlight w:val="none"/>
        </w:rPr>
        <w:t>中标候选人名单。如出现总得分相同时，</w:t>
      </w:r>
      <w:r>
        <w:rPr>
          <w:rFonts w:hint="eastAsia" w:ascii="仿宋" w:hAnsi="仿宋" w:eastAsia="仿宋" w:cs="仿宋"/>
          <w:color w:val="auto"/>
          <w:sz w:val="24"/>
          <w:highlight w:val="none"/>
        </w:rPr>
        <w:t>技术方案得分高者优先</w:t>
      </w:r>
      <w:r>
        <w:rPr>
          <w:rFonts w:hint="eastAsia" w:ascii="仿宋" w:hAnsi="仿宋" w:eastAsia="仿宋" w:cs="仿宋"/>
          <w:bCs/>
          <w:color w:val="auto"/>
          <w:sz w:val="24"/>
          <w:szCs w:val="24"/>
          <w:highlight w:val="none"/>
        </w:rPr>
        <w:t>；如</w:t>
      </w:r>
      <w:r>
        <w:rPr>
          <w:rFonts w:hint="eastAsia" w:ascii="仿宋" w:hAnsi="仿宋" w:eastAsia="仿宋" w:cs="仿宋"/>
          <w:color w:val="auto"/>
          <w:sz w:val="24"/>
          <w:highlight w:val="none"/>
        </w:rPr>
        <w:t>技术方案得分</w:t>
      </w:r>
      <w:r>
        <w:rPr>
          <w:rFonts w:hint="eastAsia" w:ascii="仿宋" w:hAnsi="仿宋" w:eastAsia="仿宋" w:cs="仿宋"/>
          <w:bCs/>
          <w:color w:val="auto"/>
          <w:sz w:val="24"/>
          <w:szCs w:val="24"/>
          <w:highlight w:val="none"/>
        </w:rPr>
        <w:t>仍相同时，则由代理机构在招标人的监督下现场抽签确定排序。</w:t>
      </w:r>
    </w:p>
    <w:p w14:paraId="5AB340E4">
      <w:pPr>
        <w:spacing w:line="360" w:lineRule="auto"/>
        <w:ind w:firstLine="48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中标候选人确定后，在后期异议、投诉调查过程中如发现投标人存在弄虚作假、串通投标等违法违规行为或不符合招标文件实质性要求的，不论其是否为中标候选人，均不对已评审的结果重新计算，是中标候选人的，取消其中标资格。</w:t>
      </w:r>
    </w:p>
    <w:p w14:paraId="4DF1B1B4">
      <w:pPr>
        <w:adjustRightInd/>
        <w:spacing w:line="360" w:lineRule="auto"/>
        <w:jc w:val="center"/>
        <w:rPr>
          <w:rFonts w:ascii="仿宋" w:hAnsi="仿宋" w:eastAsia="仿宋" w:cs="仿宋"/>
          <w:b/>
          <w:color w:val="auto"/>
          <w:sz w:val="24"/>
          <w:szCs w:val="24"/>
          <w:highlight w:val="none"/>
        </w:rPr>
      </w:pPr>
      <w:r>
        <w:rPr>
          <w:rFonts w:hint="eastAsia" w:ascii="仿宋" w:hAnsi="仿宋" w:eastAsia="仿宋" w:cs="仿宋"/>
          <w:b/>
          <w:color w:val="auto"/>
          <w:kern w:val="2"/>
          <w:sz w:val="24"/>
          <w:szCs w:val="24"/>
          <w:highlight w:val="none"/>
        </w:rPr>
        <w:br w:type="page"/>
      </w:r>
      <w:bookmarkStart w:id="44" w:name="_Toc219773165"/>
      <w:bookmarkEnd w:id="44"/>
      <w:bookmarkStart w:id="45" w:name="_Toc12135"/>
    </w:p>
    <w:p w14:paraId="6E15CCFB">
      <w:pPr>
        <w:jc w:val="center"/>
        <w:rPr>
          <w:rFonts w:ascii="仿宋" w:hAnsi="仿宋" w:eastAsia="仿宋" w:cs="仿宋"/>
          <w:color w:val="auto"/>
          <w:sz w:val="28"/>
          <w:szCs w:val="36"/>
          <w:highlight w:val="none"/>
        </w:rPr>
      </w:pPr>
      <w:bookmarkStart w:id="46" w:name="_Toc29613_WPSOffice_Level1"/>
    </w:p>
    <w:p w14:paraId="1BFDCE72">
      <w:pPr>
        <w:jc w:val="center"/>
        <w:rPr>
          <w:rFonts w:ascii="仿宋" w:hAnsi="仿宋" w:eastAsia="仿宋" w:cs="仿宋"/>
          <w:color w:val="auto"/>
          <w:sz w:val="28"/>
          <w:szCs w:val="36"/>
          <w:highlight w:val="none"/>
        </w:rPr>
      </w:pPr>
      <w:r>
        <w:rPr>
          <w:rFonts w:hint="eastAsia" w:ascii="仿宋" w:hAnsi="仿宋" w:eastAsia="仿宋" w:cs="仿宋"/>
          <w:color w:val="auto"/>
          <w:sz w:val="28"/>
          <w:szCs w:val="36"/>
          <w:highlight w:val="none"/>
        </w:rPr>
        <w:t>第四章   合同条款及格式</w:t>
      </w:r>
      <w:bookmarkEnd w:id="46"/>
    </w:p>
    <w:p w14:paraId="6474FCCD">
      <w:pPr>
        <w:rPr>
          <w:rFonts w:ascii="仿宋" w:hAnsi="仿宋" w:eastAsia="仿宋" w:cs="仿宋"/>
          <w:b/>
          <w:color w:val="auto"/>
          <w:sz w:val="44"/>
          <w:szCs w:val="44"/>
          <w:highlight w:val="none"/>
        </w:rPr>
      </w:pPr>
      <w:r>
        <w:rPr>
          <w:rFonts w:hint="eastAsia" w:ascii="仿宋" w:hAnsi="仿宋" w:eastAsia="仿宋" w:cs="仿宋"/>
          <w:bCs/>
          <w:color w:val="auto"/>
          <w:sz w:val="24"/>
          <w:szCs w:val="24"/>
          <w:highlight w:val="none"/>
        </w:rPr>
        <w:t>GF—2015—0210</w:t>
      </w:r>
    </w:p>
    <w:p w14:paraId="6DBA0B58">
      <w:pPr>
        <w:ind w:firstLine="4590" w:firstLineChars="1905"/>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合同编号：</w:t>
      </w:r>
    </w:p>
    <w:p w14:paraId="702D20F6">
      <w:pPr>
        <w:jc w:val="center"/>
        <w:rPr>
          <w:rFonts w:ascii="仿宋" w:hAnsi="仿宋" w:eastAsia="仿宋" w:cs="仿宋"/>
          <w:b/>
          <w:color w:val="auto"/>
          <w:sz w:val="24"/>
          <w:szCs w:val="24"/>
          <w:highlight w:val="none"/>
        </w:rPr>
      </w:pPr>
    </w:p>
    <w:p w14:paraId="310AF7F0">
      <w:pPr>
        <w:jc w:val="center"/>
        <w:rPr>
          <w:rFonts w:ascii="仿宋" w:hAnsi="仿宋" w:eastAsia="仿宋" w:cs="仿宋"/>
          <w:b/>
          <w:color w:val="auto"/>
          <w:sz w:val="44"/>
          <w:szCs w:val="44"/>
          <w:highlight w:val="none"/>
        </w:rPr>
      </w:pPr>
    </w:p>
    <w:p w14:paraId="7F4BBC00">
      <w:pPr>
        <w:jc w:val="center"/>
        <w:rPr>
          <w:rFonts w:hint="eastAsia" w:ascii="仿宋" w:hAnsi="仿宋" w:eastAsia="仿宋" w:cs="仿宋"/>
          <w:b/>
          <w:color w:val="auto"/>
          <w:sz w:val="48"/>
          <w:szCs w:val="40"/>
          <w:highlight w:val="none"/>
          <w:lang w:eastAsia="zh-CN"/>
        </w:rPr>
      </w:pPr>
      <w:r>
        <w:rPr>
          <w:rFonts w:hint="eastAsia" w:ascii="仿宋" w:hAnsi="仿宋" w:eastAsia="仿宋" w:cs="仿宋"/>
          <w:b/>
          <w:color w:val="auto"/>
          <w:sz w:val="48"/>
          <w:szCs w:val="40"/>
          <w:highlight w:val="none"/>
          <w:lang w:eastAsia="zh-CN"/>
        </w:rPr>
        <w:t>G330铜陵段一级公路改建工程（一期）横埠至陈瑶湖段涉及500kV文官5391都山5392线143#塔改造工程设计</w:t>
      </w:r>
    </w:p>
    <w:p w14:paraId="06732A55">
      <w:pPr>
        <w:jc w:val="center"/>
        <w:rPr>
          <w:rFonts w:ascii="仿宋" w:hAnsi="仿宋" w:eastAsia="仿宋" w:cs="仿宋"/>
          <w:b/>
          <w:color w:val="auto"/>
          <w:sz w:val="48"/>
          <w:szCs w:val="40"/>
          <w:highlight w:val="none"/>
        </w:rPr>
      </w:pPr>
      <w:r>
        <w:rPr>
          <w:rFonts w:hint="eastAsia" w:ascii="仿宋" w:hAnsi="仿宋" w:eastAsia="仿宋" w:cs="仿宋"/>
          <w:b/>
          <w:color w:val="auto"/>
          <w:sz w:val="48"/>
          <w:szCs w:val="40"/>
          <w:highlight w:val="none"/>
        </w:rPr>
        <w:t>勘察设计委托合同</w:t>
      </w:r>
    </w:p>
    <w:p w14:paraId="7F515456">
      <w:pPr>
        <w:jc w:val="center"/>
        <w:rPr>
          <w:rFonts w:ascii="仿宋" w:hAnsi="仿宋" w:eastAsia="仿宋" w:cs="仿宋"/>
          <w:b/>
          <w:color w:val="auto"/>
          <w:sz w:val="44"/>
          <w:szCs w:val="44"/>
          <w:highlight w:val="none"/>
        </w:rPr>
      </w:pPr>
    </w:p>
    <w:p w14:paraId="43329E85">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合同编号（甲方）：</w:t>
      </w:r>
    </w:p>
    <w:p w14:paraId="48EC39D0">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合同编号（乙方）：</w:t>
      </w:r>
    </w:p>
    <w:p w14:paraId="303E0EF5">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p>
    <w:p w14:paraId="730049A2">
      <w:pPr>
        <w:tabs>
          <w:tab w:val="left" w:pos="2400"/>
        </w:tabs>
        <w:spacing w:beforeLines="0" w:afterLines="0" w:line="500" w:lineRule="exact"/>
        <w:ind w:left="404" w:leftChars="202"/>
        <w:rPr>
          <w:rFonts w:hint="default" w:ascii="Times New Roman" w:hAnsi="Times New Roman" w:eastAsia="仿宋_GB2312" w:cs="Times New Roman"/>
          <w:b/>
          <w:color w:val="auto"/>
          <w:sz w:val="24"/>
          <w:szCs w:val="24"/>
          <w:highlight w:val="none"/>
        </w:rPr>
      </w:pPr>
    </w:p>
    <w:p w14:paraId="33FC3107">
      <w:pPr>
        <w:tabs>
          <w:tab w:val="left" w:pos="2400"/>
        </w:tabs>
        <w:spacing w:beforeLines="0" w:afterLines="0" w:line="500" w:lineRule="exact"/>
        <w:ind w:left="404" w:leftChars="20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项目名称：</w:t>
      </w:r>
      <w:bookmarkStart w:id="47" w:name="_Hlk26454104"/>
      <w:r>
        <w:rPr>
          <w:rFonts w:hint="eastAsia" w:eastAsia="仿宋_GB2312" w:cs="Times New Roman"/>
          <w:b/>
          <w:color w:val="auto"/>
          <w:sz w:val="24"/>
          <w:szCs w:val="24"/>
          <w:highlight w:val="none"/>
          <w:lang w:eastAsia="zh-CN"/>
        </w:rPr>
        <w:t>G330铜陵段一级公路改建工程（一期）横埠至陈瑶湖段涉及500kV文官5391都山5392线143#塔改造工程设计</w:t>
      </w:r>
    </w:p>
    <w:bookmarkEnd w:id="47"/>
    <w:p w14:paraId="6E97B40D">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p>
    <w:p w14:paraId="39A17F65">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lang w:eastAsia="zh-CN"/>
        </w:rPr>
      </w:pPr>
      <w:r>
        <w:rPr>
          <w:rFonts w:hint="default" w:ascii="Times New Roman" w:hAnsi="Times New Roman" w:eastAsia="仿宋_GB2312" w:cs="Times New Roman"/>
          <w:b/>
          <w:color w:val="auto"/>
          <w:sz w:val="24"/>
          <w:szCs w:val="24"/>
          <w:highlight w:val="none"/>
        </w:rPr>
        <w:t>委托方（甲方）：</w:t>
      </w:r>
    </w:p>
    <w:p w14:paraId="5BC2B990">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受托方（乙方）：</w:t>
      </w:r>
    </w:p>
    <w:p w14:paraId="636B4972">
      <w:pPr>
        <w:tabs>
          <w:tab w:val="left" w:pos="240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签订时间 ：</w:t>
      </w:r>
      <w:r>
        <w:rPr>
          <w:rFonts w:hint="default" w:ascii="Times New Roman" w:hAnsi="Times New Roman" w:eastAsia="仿宋_GB2312" w:cs="Times New Roman"/>
          <w:b/>
          <w:color w:val="auto"/>
          <w:sz w:val="24"/>
          <w:szCs w:val="24"/>
          <w:highlight w:val="none"/>
        </w:rPr>
        <w:tab/>
      </w:r>
      <w:r>
        <w:rPr>
          <w:rFonts w:hint="default" w:ascii="Times New Roman" w:hAnsi="Times New Roman" w:eastAsia="仿宋_GB2312" w:cs="Times New Roman"/>
          <w:b/>
          <w:color w:val="auto"/>
          <w:sz w:val="24"/>
          <w:szCs w:val="24"/>
          <w:highlight w:val="none"/>
        </w:rPr>
        <w:t>202</w:t>
      </w:r>
      <w:r>
        <w:rPr>
          <w:rFonts w:hint="default" w:ascii="Times New Roman" w:hAnsi="Times New Roman" w:eastAsia="仿宋_GB2312" w:cs="Times New Roman"/>
          <w:b/>
          <w:color w:val="auto"/>
          <w:sz w:val="24"/>
          <w:szCs w:val="24"/>
          <w:highlight w:val="none"/>
          <w:lang w:val="en-US" w:eastAsia="zh-CN"/>
        </w:rPr>
        <w:t xml:space="preserve">5  </w:t>
      </w:r>
      <w:r>
        <w:rPr>
          <w:rFonts w:hint="default" w:ascii="Times New Roman" w:hAnsi="Times New Roman" w:eastAsia="仿宋_GB2312" w:cs="Times New Roman"/>
          <w:b/>
          <w:color w:val="auto"/>
          <w:sz w:val="24"/>
          <w:szCs w:val="24"/>
          <w:highlight w:val="none"/>
        </w:rPr>
        <w:t xml:space="preserve">年 </w:t>
      </w:r>
      <w:r>
        <w:rPr>
          <w:rFonts w:hint="default" w:ascii="Times New Roman" w:hAnsi="Times New Roman" w:eastAsia="仿宋_GB2312" w:cs="Times New Roman"/>
          <w:b/>
          <w:color w:val="auto"/>
          <w:sz w:val="24"/>
          <w:szCs w:val="24"/>
          <w:highlight w:val="none"/>
          <w:lang w:val="en-US" w:eastAsia="zh-CN"/>
        </w:rPr>
        <w:t xml:space="preserve">  </w:t>
      </w:r>
      <w:r>
        <w:rPr>
          <w:rFonts w:hint="default" w:ascii="Times New Roman" w:hAnsi="Times New Roman" w:eastAsia="仿宋_GB2312" w:cs="Times New Roman"/>
          <w:b/>
          <w:color w:val="auto"/>
          <w:sz w:val="24"/>
          <w:szCs w:val="24"/>
          <w:highlight w:val="none"/>
        </w:rPr>
        <w:t>月</w:t>
      </w:r>
      <w:r>
        <w:rPr>
          <w:rFonts w:hint="default" w:ascii="Times New Roman" w:hAnsi="Times New Roman" w:eastAsia="仿宋_GB2312" w:cs="Times New Roman"/>
          <w:b/>
          <w:color w:val="auto"/>
          <w:sz w:val="24"/>
          <w:szCs w:val="24"/>
          <w:highlight w:val="none"/>
          <w:lang w:val="en-US" w:eastAsia="zh-CN"/>
        </w:rPr>
        <w:t xml:space="preserve">   </w:t>
      </w:r>
      <w:r>
        <w:rPr>
          <w:rFonts w:hint="default" w:ascii="Times New Roman" w:hAnsi="Times New Roman" w:eastAsia="仿宋_GB2312" w:cs="Times New Roman"/>
          <w:b/>
          <w:color w:val="auto"/>
          <w:sz w:val="24"/>
          <w:szCs w:val="24"/>
          <w:highlight w:val="none"/>
        </w:rPr>
        <w:t>日</w:t>
      </w:r>
    </w:p>
    <w:p w14:paraId="4CD5C5BE">
      <w:pPr>
        <w:tabs>
          <w:tab w:val="left" w:pos="2550"/>
        </w:tabs>
        <w:spacing w:beforeLines="0" w:afterLines="0" w:line="500" w:lineRule="exact"/>
        <w:ind w:left="404" w:leftChars="202" w:firstLine="2"/>
        <w:rPr>
          <w:rFonts w:hint="default" w:ascii="Times New Roman" w:hAnsi="Times New Roman" w:eastAsia="仿宋_GB2312" w:cs="Times New Roman"/>
          <w:b/>
          <w:color w:val="auto"/>
          <w:sz w:val="24"/>
          <w:szCs w:val="24"/>
          <w:highlight w:val="none"/>
        </w:rPr>
      </w:pPr>
      <w:r>
        <w:rPr>
          <w:rFonts w:hint="default" w:ascii="Times New Roman" w:hAnsi="Times New Roman" w:eastAsia="仿宋_GB2312" w:cs="Times New Roman"/>
          <w:b/>
          <w:color w:val="auto"/>
          <w:sz w:val="24"/>
          <w:szCs w:val="24"/>
          <w:highlight w:val="none"/>
        </w:rPr>
        <w:t>签订地点 ：</w:t>
      </w:r>
    </w:p>
    <w:p w14:paraId="085D7809">
      <w:pPr>
        <w:rPr>
          <w:rFonts w:ascii="仿宋" w:hAnsi="仿宋" w:eastAsia="仿宋" w:cs="仿宋"/>
          <w:b/>
          <w:color w:val="auto"/>
          <w:sz w:val="13"/>
          <w:szCs w:val="13"/>
          <w:highlight w:val="none"/>
        </w:rPr>
      </w:pPr>
    </w:p>
    <w:p w14:paraId="5893A050">
      <w:pPr>
        <w:rPr>
          <w:rFonts w:ascii="仿宋" w:hAnsi="仿宋" w:eastAsia="仿宋" w:cs="仿宋"/>
          <w:b/>
          <w:color w:val="auto"/>
          <w:sz w:val="13"/>
          <w:szCs w:val="13"/>
          <w:highlight w:val="none"/>
        </w:rPr>
      </w:pPr>
    </w:p>
    <w:p w14:paraId="62E4AFF7">
      <w:pPr>
        <w:rPr>
          <w:rFonts w:ascii="仿宋" w:hAnsi="仿宋" w:eastAsia="仿宋" w:cs="仿宋"/>
          <w:b/>
          <w:color w:val="auto"/>
          <w:sz w:val="16"/>
          <w:szCs w:val="16"/>
          <w:highlight w:val="none"/>
        </w:rPr>
      </w:pPr>
    </w:p>
    <w:p w14:paraId="6A0CB643">
      <w:pPr>
        <w:rPr>
          <w:rFonts w:ascii="仿宋" w:hAnsi="仿宋" w:eastAsia="仿宋" w:cs="仿宋"/>
          <w:b/>
          <w:color w:val="auto"/>
          <w:sz w:val="16"/>
          <w:szCs w:val="16"/>
          <w:highlight w:val="none"/>
        </w:rPr>
      </w:pPr>
    </w:p>
    <w:p w14:paraId="74ACC7B6">
      <w:pPr>
        <w:rPr>
          <w:rFonts w:ascii="仿宋" w:hAnsi="仿宋" w:eastAsia="仿宋" w:cs="仿宋"/>
          <w:b/>
          <w:color w:val="auto"/>
          <w:sz w:val="16"/>
          <w:szCs w:val="16"/>
          <w:highlight w:val="none"/>
        </w:rPr>
      </w:pPr>
    </w:p>
    <w:p w14:paraId="56CF6239">
      <w:pPr>
        <w:rPr>
          <w:rFonts w:ascii="仿宋" w:hAnsi="仿宋" w:eastAsia="仿宋" w:cs="仿宋"/>
          <w:color w:val="auto"/>
          <w:sz w:val="16"/>
          <w:szCs w:val="16"/>
          <w:highlight w:val="none"/>
          <w:lang w:val="zh-CN"/>
        </w:rPr>
      </w:pPr>
      <w:bookmarkStart w:id="48" w:name="_Toc296890982"/>
      <w:bookmarkStart w:id="49" w:name="_Toc296503025"/>
    </w:p>
    <w:p w14:paraId="0CAD2330">
      <w:pPr>
        <w:rPr>
          <w:rFonts w:ascii="仿宋" w:hAnsi="仿宋" w:eastAsia="仿宋" w:cs="仿宋"/>
          <w:color w:val="auto"/>
          <w:sz w:val="36"/>
          <w:szCs w:val="36"/>
          <w:highlight w:val="none"/>
          <w:lang w:val="zh-CN"/>
        </w:rPr>
      </w:pPr>
      <w:r>
        <w:rPr>
          <w:rFonts w:hint="eastAsia" w:ascii="仿宋" w:hAnsi="仿宋" w:eastAsia="仿宋" w:cs="仿宋"/>
          <w:color w:val="auto"/>
          <w:sz w:val="36"/>
          <w:szCs w:val="36"/>
          <w:highlight w:val="none"/>
          <w:lang w:val="zh-CN"/>
        </w:rPr>
        <w:br w:type="page"/>
      </w:r>
    </w:p>
    <w:p w14:paraId="0E5CBC46">
      <w:pPr>
        <w:spacing w:beforeLines="0" w:afterLines="0" w:line="500" w:lineRule="exact"/>
        <w:jc w:val="center"/>
        <w:rPr>
          <w:rFonts w:hint="default" w:ascii="Times New Roman" w:hAnsi="Times New Roman" w:eastAsia="仿宋_GB2312" w:cs="Times New Roman"/>
          <w:b/>
          <w:bCs/>
          <w:color w:val="auto"/>
          <w:sz w:val="30"/>
          <w:szCs w:val="30"/>
          <w:highlight w:val="none"/>
        </w:rPr>
      </w:pPr>
      <w:r>
        <w:rPr>
          <w:rFonts w:hint="default" w:ascii="Times New Roman" w:hAnsi="Times New Roman" w:eastAsia="仿宋_GB2312" w:cs="Times New Roman"/>
          <w:b/>
          <w:bCs/>
          <w:color w:val="auto"/>
          <w:sz w:val="30"/>
          <w:szCs w:val="30"/>
          <w:highlight w:val="none"/>
        </w:rPr>
        <w:t>目录</w:t>
      </w:r>
    </w:p>
    <w:p w14:paraId="5C684C30">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_Toc8697_WPSOffice_Level1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1.工作内容</w:t>
      </w:r>
      <w:r>
        <w:rPr>
          <w:rFonts w:hint="default" w:ascii="Times New Roman" w:hAnsi="Times New Roman" w:eastAsia="仿宋_GB2312" w:cs="Times New Roman"/>
          <w:color w:val="auto"/>
          <w:sz w:val="30"/>
          <w:szCs w:val="30"/>
          <w:highlight w:val="none"/>
        </w:rPr>
        <w:tab/>
      </w:r>
      <w:bookmarkStart w:id="50" w:name="_Toc8697_WPSOffice_Level1Page"/>
      <w:r>
        <w:rPr>
          <w:rFonts w:hint="default" w:ascii="Times New Roman" w:hAnsi="Times New Roman" w:eastAsia="仿宋_GB2312" w:cs="Times New Roman"/>
          <w:color w:val="auto"/>
          <w:sz w:val="30"/>
          <w:szCs w:val="30"/>
          <w:highlight w:val="none"/>
        </w:rPr>
        <w:t>3</w:t>
      </w:r>
      <w:bookmarkEnd w:id="50"/>
      <w:r>
        <w:rPr>
          <w:rFonts w:hint="default" w:ascii="Times New Roman" w:hAnsi="Times New Roman" w:eastAsia="仿宋_GB2312" w:cs="Times New Roman"/>
          <w:color w:val="auto"/>
          <w:sz w:val="30"/>
          <w:szCs w:val="30"/>
          <w:highlight w:val="none"/>
        </w:rPr>
        <w:fldChar w:fldCharType="end"/>
      </w:r>
    </w:p>
    <w:p w14:paraId="70215FF7">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_Toc11340_WPSOffice_Level1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2.工作进度</w:t>
      </w:r>
      <w:r>
        <w:rPr>
          <w:rFonts w:hint="default" w:ascii="Times New Roman" w:hAnsi="Times New Roman" w:eastAsia="仿宋_GB2312" w:cs="Times New Roman"/>
          <w:color w:val="auto"/>
          <w:sz w:val="30"/>
          <w:szCs w:val="30"/>
          <w:highlight w:val="none"/>
        </w:rPr>
        <w:tab/>
      </w:r>
      <w:bookmarkStart w:id="51" w:name="_Toc11340_WPSOffice_Level1Page"/>
      <w:r>
        <w:rPr>
          <w:rFonts w:hint="default" w:ascii="Times New Roman" w:hAnsi="Times New Roman" w:eastAsia="仿宋_GB2312" w:cs="Times New Roman"/>
          <w:color w:val="auto"/>
          <w:sz w:val="30"/>
          <w:szCs w:val="30"/>
          <w:highlight w:val="none"/>
        </w:rPr>
        <w:t>3</w:t>
      </w:r>
      <w:bookmarkEnd w:id="51"/>
      <w:r>
        <w:rPr>
          <w:rFonts w:hint="default" w:ascii="Times New Roman" w:hAnsi="Times New Roman" w:eastAsia="仿宋_GB2312" w:cs="Times New Roman"/>
          <w:color w:val="auto"/>
          <w:sz w:val="30"/>
          <w:szCs w:val="30"/>
          <w:highlight w:val="none"/>
        </w:rPr>
        <w:fldChar w:fldCharType="end"/>
      </w:r>
    </w:p>
    <w:p w14:paraId="3E658F85">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_Toc23187_WPSOffice_Level1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eastAsia="zh-CN"/>
        </w:rPr>
        <w:t>3</w:t>
      </w:r>
      <w:r>
        <w:rPr>
          <w:rFonts w:hint="default" w:ascii="Times New Roman" w:hAnsi="Times New Roman" w:eastAsia="仿宋_GB2312" w:cs="Times New Roman"/>
          <w:color w:val="auto"/>
          <w:sz w:val="30"/>
          <w:szCs w:val="30"/>
          <w:highlight w:val="none"/>
        </w:rPr>
        <w:t>.工作成果</w:t>
      </w:r>
      <w:r>
        <w:rPr>
          <w:rFonts w:hint="default" w:ascii="Times New Roman" w:hAnsi="Times New Roman" w:eastAsia="仿宋_GB2312" w:cs="Times New Roman"/>
          <w:color w:val="auto"/>
          <w:sz w:val="30"/>
          <w:szCs w:val="30"/>
          <w:highlight w:val="none"/>
        </w:rPr>
        <w:tab/>
      </w:r>
      <w:bookmarkStart w:id="52" w:name="_Toc23187_WPSOffice_Level1Page"/>
      <w:r>
        <w:rPr>
          <w:rFonts w:hint="default" w:ascii="Times New Roman" w:hAnsi="Times New Roman" w:eastAsia="仿宋_GB2312" w:cs="Times New Roman"/>
          <w:color w:val="auto"/>
          <w:sz w:val="30"/>
          <w:szCs w:val="30"/>
          <w:highlight w:val="none"/>
        </w:rPr>
        <w:t>4</w:t>
      </w:r>
      <w:bookmarkEnd w:id="52"/>
      <w:r>
        <w:rPr>
          <w:rFonts w:hint="default" w:ascii="Times New Roman" w:hAnsi="Times New Roman" w:eastAsia="仿宋_GB2312" w:cs="Times New Roman"/>
          <w:color w:val="auto"/>
          <w:sz w:val="30"/>
          <w:szCs w:val="30"/>
          <w:highlight w:val="none"/>
        </w:rPr>
        <w:fldChar w:fldCharType="end"/>
      </w:r>
    </w:p>
    <w:p w14:paraId="17EBC318">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_Toc1300_WPSOffice_Level1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eastAsia="zh-CN"/>
        </w:rPr>
        <w:t>4</w:t>
      </w:r>
      <w:r>
        <w:rPr>
          <w:rFonts w:hint="default" w:ascii="Times New Roman" w:hAnsi="Times New Roman" w:eastAsia="仿宋_GB2312" w:cs="Times New Roman"/>
          <w:color w:val="auto"/>
          <w:sz w:val="30"/>
          <w:szCs w:val="30"/>
          <w:highlight w:val="none"/>
        </w:rPr>
        <w:t>.合同价格及支付</w:t>
      </w:r>
      <w:r>
        <w:rPr>
          <w:rFonts w:hint="default" w:ascii="Times New Roman" w:hAnsi="Times New Roman" w:eastAsia="仿宋_GB2312" w:cs="Times New Roman"/>
          <w:color w:val="auto"/>
          <w:sz w:val="30"/>
          <w:szCs w:val="30"/>
          <w:highlight w:val="none"/>
        </w:rPr>
        <w:tab/>
      </w:r>
      <w:bookmarkStart w:id="53" w:name="_Toc1300_WPSOffice_Level1Page"/>
      <w:r>
        <w:rPr>
          <w:rFonts w:hint="default" w:ascii="Times New Roman" w:hAnsi="Times New Roman" w:eastAsia="仿宋_GB2312" w:cs="Times New Roman"/>
          <w:color w:val="auto"/>
          <w:sz w:val="30"/>
          <w:szCs w:val="30"/>
          <w:highlight w:val="none"/>
        </w:rPr>
        <w:t>4</w:t>
      </w:r>
      <w:bookmarkEnd w:id="53"/>
      <w:r>
        <w:rPr>
          <w:rFonts w:hint="default" w:ascii="Times New Roman" w:hAnsi="Times New Roman" w:eastAsia="仿宋_GB2312" w:cs="Times New Roman"/>
          <w:color w:val="auto"/>
          <w:sz w:val="30"/>
          <w:szCs w:val="30"/>
          <w:highlight w:val="none"/>
        </w:rPr>
        <w:fldChar w:fldCharType="end"/>
      </w:r>
    </w:p>
    <w:p w14:paraId="14600466">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_Toc1044_WPSOffice_Level1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val="en-US" w:eastAsia="zh-CN"/>
        </w:rPr>
        <w:t>5</w:t>
      </w:r>
      <w:r>
        <w:rPr>
          <w:rFonts w:hint="default" w:ascii="Times New Roman" w:hAnsi="Times New Roman" w:eastAsia="仿宋_GB2312" w:cs="Times New Roman"/>
          <w:color w:val="auto"/>
          <w:sz w:val="30"/>
          <w:szCs w:val="30"/>
          <w:highlight w:val="none"/>
        </w:rPr>
        <w:t>.知识产权</w:t>
      </w:r>
      <w:r>
        <w:rPr>
          <w:rFonts w:hint="default" w:ascii="Times New Roman" w:hAnsi="Times New Roman" w:eastAsia="仿宋_GB2312" w:cs="Times New Roman"/>
          <w:color w:val="auto"/>
          <w:sz w:val="30"/>
          <w:szCs w:val="30"/>
          <w:highlight w:val="none"/>
        </w:rPr>
        <w:tab/>
      </w:r>
      <w:bookmarkStart w:id="54" w:name="_Toc1044_WPSOffice_Level1Page"/>
      <w:r>
        <w:rPr>
          <w:rFonts w:hint="default" w:ascii="Times New Roman" w:hAnsi="Times New Roman" w:eastAsia="仿宋_GB2312" w:cs="Times New Roman"/>
          <w:color w:val="auto"/>
          <w:sz w:val="30"/>
          <w:szCs w:val="30"/>
          <w:highlight w:val="none"/>
        </w:rPr>
        <w:t>6</w:t>
      </w:r>
      <w:bookmarkEnd w:id="54"/>
      <w:r>
        <w:rPr>
          <w:rFonts w:hint="default" w:ascii="Times New Roman" w:hAnsi="Times New Roman" w:eastAsia="仿宋_GB2312" w:cs="Times New Roman"/>
          <w:color w:val="auto"/>
          <w:sz w:val="30"/>
          <w:szCs w:val="30"/>
          <w:highlight w:val="none"/>
        </w:rPr>
        <w:fldChar w:fldCharType="end"/>
      </w:r>
    </w:p>
    <w:p w14:paraId="20BA39F0">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_Toc20987_WPSOffice_Level1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val="en-US" w:eastAsia="zh-CN"/>
        </w:rPr>
        <w:t>6</w:t>
      </w:r>
      <w:r>
        <w:rPr>
          <w:rFonts w:hint="default" w:ascii="Times New Roman" w:hAnsi="Times New Roman" w:eastAsia="仿宋_GB2312" w:cs="Times New Roman"/>
          <w:color w:val="auto"/>
          <w:sz w:val="30"/>
          <w:szCs w:val="30"/>
          <w:highlight w:val="none"/>
        </w:rPr>
        <w:t>.违约责任</w:t>
      </w:r>
      <w:r>
        <w:rPr>
          <w:rFonts w:hint="default" w:ascii="Times New Roman" w:hAnsi="Times New Roman" w:eastAsia="仿宋_GB2312" w:cs="Times New Roman"/>
          <w:color w:val="auto"/>
          <w:sz w:val="30"/>
          <w:szCs w:val="30"/>
          <w:highlight w:val="none"/>
        </w:rPr>
        <w:tab/>
      </w:r>
      <w:bookmarkStart w:id="55" w:name="_Toc20987_WPSOffice_Level1Page"/>
      <w:r>
        <w:rPr>
          <w:rFonts w:hint="default" w:ascii="Times New Roman" w:hAnsi="Times New Roman" w:eastAsia="仿宋_GB2312" w:cs="Times New Roman"/>
          <w:color w:val="auto"/>
          <w:sz w:val="30"/>
          <w:szCs w:val="30"/>
          <w:highlight w:val="none"/>
        </w:rPr>
        <w:t>6</w:t>
      </w:r>
      <w:bookmarkEnd w:id="55"/>
      <w:r>
        <w:rPr>
          <w:rFonts w:hint="default" w:ascii="Times New Roman" w:hAnsi="Times New Roman" w:eastAsia="仿宋_GB2312" w:cs="Times New Roman"/>
          <w:color w:val="auto"/>
          <w:sz w:val="30"/>
          <w:szCs w:val="30"/>
          <w:highlight w:val="none"/>
        </w:rPr>
        <w:fldChar w:fldCharType="end"/>
      </w:r>
    </w:p>
    <w:p w14:paraId="2CEA379F">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_Toc2498_WPSOffice_Level1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val="en-US" w:eastAsia="zh-CN"/>
        </w:rPr>
        <w:t>7</w:t>
      </w:r>
      <w:r>
        <w:rPr>
          <w:rFonts w:hint="default" w:ascii="Times New Roman" w:hAnsi="Times New Roman" w:eastAsia="仿宋_GB2312" w:cs="Times New Roman"/>
          <w:color w:val="auto"/>
          <w:sz w:val="30"/>
          <w:szCs w:val="30"/>
          <w:highlight w:val="none"/>
        </w:rPr>
        <w:t>.不可抗力</w:t>
      </w:r>
      <w:r>
        <w:rPr>
          <w:rFonts w:hint="default" w:ascii="Times New Roman" w:hAnsi="Times New Roman" w:eastAsia="仿宋_GB2312" w:cs="Times New Roman"/>
          <w:color w:val="auto"/>
          <w:sz w:val="30"/>
          <w:szCs w:val="30"/>
          <w:highlight w:val="none"/>
        </w:rPr>
        <w:tab/>
      </w:r>
      <w:bookmarkStart w:id="56" w:name="_Toc2498_WPSOffice_Level1Page"/>
      <w:r>
        <w:rPr>
          <w:rFonts w:hint="default" w:ascii="Times New Roman" w:hAnsi="Times New Roman" w:eastAsia="仿宋_GB2312" w:cs="Times New Roman"/>
          <w:color w:val="auto"/>
          <w:sz w:val="30"/>
          <w:szCs w:val="30"/>
          <w:highlight w:val="none"/>
        </w:rPr>
        <w:t>8</w:t>
      </w:r>
      <w:bookmarkEnd w:id="56"/>
      <w:r>
        <w:rPr>
          <w:rFonts w:hint="default" w:ascii="Times New Roman" w:hAnsi="Times New Roman" w:eastAsia="仿宋_GB2312" w:cs="Times New Roman"/>
          <w:color w:val="auto"/>
          <w:sz w:val="30"/>
          <w:szCs w:val="30"/>
          <w:highlight w:val="none"/>
        </w:rPr>
        <w:fldChar w:fldCharType="end"/>
      </w:r>
    </w:p>
    <w:p w14:paraId="042F2F92">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_Toc25272_WPSOffice_Level1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val="en-US" w:eastAsia="zh-CN"/>
        </w:rPr>
        <w:t>8</w:t>
      </w:r>
      <w:r>
        <w:rPr>
          <w:rFonts w:hint="default" w:ascii="Times New Roman" w:hAnsi="Times New Roman" w:eastAsia="仿宋_GB2312" w:cs="Times New Roman"/>
          <w:color w:val="auto"/>
          <w:sz w:val="30"/>
          <w:szCs w:val="30"/>
          <w:highlight w:val="none"/>
        </w:rPr>
        <w:t>.适用法律</w:t>
      </w:r>
      <w:r>
        <w:rPr>
          <w:rFonts w:hint="default" w:ascii="Times New Roman" w:hAnsi="Times New Roman" w:eastAsia="仿宋_GB2312" w:cs="Times New Roman"/>
          <w:color w:val="auto"/>
          <w:sz w:val="30"/>
          <w:szCs w:val="30"/>
          <w:highlight w:val="none"/>
        </w:rPr>
        <w:tab/>
      </w:r>
      <w:bookmarkStart w:id="57" w:name="_Toc25272_WPSOffice_Level1Page"/>
      <w:r>
        <w:rPr>
          <w:rFonts w:hint="default" w:ascii="Times New Roman" w:hAnsi="Times New Roman" w:eastAsia="仿宋_GB2312" w:cs="Times New Roman"/>
          <w:color w:val="auto"/>
          <w:sz w:val="30"/>
          <w:szCs w:val="30"/>
          <w:highlight w:val="none"/>
        </w:rPr>
        <w:t>8</w:t>
      </w:r>
      <w:bookmarkEnd w:id="57"/>
      <w:r>
        <w:rPr>
          <w:rFonts w:hint="default" w:ascii="Times New Roman" w:hAnsi="Times New Roman" w:eastAsia="仿宋_GB2312" w:cs="Times New Roman"/>
          <w:color w:val="auto"/>
          <w:sz w:val="30"/>
          <w:szCs w:val="30"/>
          <w:highlight w:val="none"/>
        </w:rPr>
        <w:fldChar w:fldCharType="end"/>
      </w:r>
    </w:p>
    <w:p w14:paraId="3E93CE6F">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_Toc8215_WPSOffice_Level1 </w:instrText>
      </w:r>
      <w:r>
        <w:rPr>
          <w:rFonts w:hint="default" w:ascii="Times New Roman" w:hAnsi="Times New Roman" w:eastAsia="仿宋_GB2312" w:cs="Times New Roman"/>
          <w:color w:val="auto"/>
          <w:sz w:val="30"/>
          <w:szCs w:val="30"/>
          <w:highlight w:val="none"/>
        </w:rPr>
        <w:fldChar w:fldCharType="separate"/>
      </w:r>
      <w:r>
        <w:rPr>
          <w:rFonts w:hint="eastAsia" w:ascii="Times New Roman" w:hAnsi="Times New Roman" w:eastAsia="仿宋_GB2312" w:cs="Times New Roman"/>
          <w:color w:val="auto"/>
          <w:sz w:val="30"/>
          <w:szCs w:val="30"/>
          <w:highlight w:val="none"/>
          <w:lang w:val="en-US" w:eastAsia="zh-CN"/>
        </w:rPr>
        <w:t>9</w:t>
      </w:r>
      <w:r>
        <w:rPr>
          <w:rFonts w:hint="default" w:ascii="Times New Roman" w:hAnsi="Times New Roman" w:eastAsia="仿宋_GB2312" w:cs="Times New Roman"/>
          <w:color w:val="auto"/>
          <w:sz w:val="30"/>
          <w:szCs w:val="30"/>
          <w:highlight w:val="none"/>
        </w:rPr>
        <w:t>.争议解决</w:t>
      </w:r>
      <w:r>
        <w:rPr>
          <w:rFonts w:hint="default" w:ascii="Times New Roman" w:hAnsi="Times New Roman" w:eastAsia="仿宋_GB2312" w:cs="Times New Roman"/>
          <w:color w:val="auto"/>
          <w:sz w:val="30"/>
          <w:szCs w:val="30"/>
          <w:highlight w:val="none"/>
        </w:rPr>
        <w:tab/>
      </w:r>
      <w:bookmarkStart w:id="58" w:name="_Toc8215_WPSOffice_Level1Page"/>
      <w:r>
        <w:rPr>
          <w:rFonts w:hint="default" w:ascii="Times New Roman" w:hAnsi="Times New Roman" w:eastAsia="仿宋_GB2312" w:cs="Times New Roman"/>
          <w:color w:val="auto"/>
          <w:sz w:val="30"/>
          <w:szCs w:val="30"/>
          <w:highlight w:val="none"/>
        </w:rPr>
        <w:t>8</w:t>
      </w:r>
      <w:bookmarkEnd w:id="58"/>
      <w:r>
        <w:rPr>
          <w:rFonts w:hint="default" w:ascii="Times New Roman" w:hAnsi="Times New Roman" w:eastAsia="仿宋_GB2312" w:cs="Times New Roman"/>
          <w:color w:val="auto"/>
          <w:sz w:val="30"/>
          <w:szCs w:val="30"/>
          <w:highlight w:val="none"/>
        </w:rPr>
        <w:fldChar w:fldCharType="end"/>
      </w:r>
    </w:p>
    <w:p w14:paraId="1936F228">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_Toc5283_WPSOffice_Level1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w:t>
      </w:r>
      <w:r>
        <w:rPr>
          <w:rFonts w:hint="eastAsia" w:ascii="Times New Roman" w:hAnsi="Times New Roman" w:eastAsia="仿宋_GB2312" w:cs="Times New Roman"/>
          <w:color w:val="auto"/>
          <w:sz w:val="30"/>
          <w:szCs w:val="30"/>
          <w:highlight w:val="none"/>
          <w:lang w:val="en-US" w:eastAsia="zh-CN"/>
        </w:rPr>
        <w:t>0</w:t>
      </w:r>
      <w:r>
        <w:rPr>
          <w:rFonts w:hint="default" w:ascii="Times New Roman" w:hAnsi="Times New Roman" w:eastAsia="仿宋_GB2312" w:cs="Times New Roman"/>
          <w:color w:val="auto"/>
          <w:sz w:val="30"/>
          <w:szCs w:val="30"/>
          <w:highlight w:val="none"/>
        </w:rPr>
        <w:t>.合同生效</w:t>
      </w:r>
      <w:r>
        <w:rPr>
          <w:rFonts w:hint="default" w:ascii="Times New Roman" w:hAnsi="Times New Roman" w:eastAsia="仿宋_GB2312" w:cs="Times New Roman"/>
          <w:color w:val="auto"/>
          <w:sz w:val="30"/>
          <w:szCs w:val="30"/>
          <w:highlight w:val="none"/>
        </w:rPr>
        <w:tab/>
      </w:r>
      <w:bookmarkStart w:id="59" w:name="_Toc5283_WPSOffice_Level1Page"/>
      <w:r>
        <w:rPr>
          <w:rFonts w:hint="default" w:ascii="Times New Roman" w:hAnsi="Times New Roman" w:eastAsia="仿宋_GB2312" w:cs="Times New Roman"/>
          <w:color w:val="auto"/>
          <w:sz w:val="30"/>
          <w:szCs w:val="30"/>
          <w:highlight w:val="none"/>
        </w:rPr>
        <w:t>9</w:t>
      </w:r>
      <w:bookmarkEnd w:id="59"/>
      <w:r>
        <w:rPr>
          <w:rFonts w:hint="default" w:ascii="Times New Roman" w:hAnsi="Times New Roman" w:eastAsia="仿宋_GB2312" w:cs="Times New Roman"/>
          <w:color w:val="auto"/>
          <w:sz w:val="30"/>
          <w:szCs w:val="30"/>
          <w:highlight w:val="none"/>
        </w:rPr>
        <w:fldChar w:fldCharType="end"/>
      </w:r>
    </w:p>
    <w:p w14:paraId="71F51875">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_Toc24759_WPSOffice_Level1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1</w:t>
      </w:r>
      <w:r>
        <w:rPr>
          <w:rFonts w:hint="eastAsia" w:ascii="Times New Roman" w:hAnsi="Times New Roman" w:eastAsia="仿宋_GB2312" w:cs="Times New Roman"/>
          <w:color w:val="auto"/>
          <w:sz w:val="30"/>
          <w:szCs w:val="30"/>
          <w:highlight w:val="none"/>
          <w:lang w:val="en-US" w:eastAsia="zh-CN"/>
        </w:rPr>
        <w:t>1</w:t>
      </w:r>
      <w:r>
        <w:rPr>
          <w:rFonts w:hint="default" w:ascii="Times New Roman" w:hAnsi="Times New Roman" w:eastAsia="仿宋_GB2312" w:cs="Times New Roman"/>
          <w:color w:val="auto"/>
          <w:sz w:val="30"/>
          <w:szCs w:val="30"/>
          <w:highlight w:val="none"/>
        </w:rPr>
        <w:t>.份数</w:t>
      </w:r>
      <w:r>
        <w:rPr>
          <w:rFonts w:hint="default" w:ascii="Times New Roman" w:hAnsi="Times New Roman" w:eastAsia="仿宋_GB2312" w:cs="Times New Roman"/>
          <w:color w:val="auto"/>
          <w:sz w:val="30"/>
          <w:szCs w:val="30"/>
          <w:highlight w:val="none"/>
        </w:rPr>
        <w:tab/>
      </w:r>
      <w:bookmarkStart w:id="60" w:name="_Toc24759_WPSOffice_Level1Page"/>
      <w:r>
        <w:rPr>
          <w:rFonts w:hint="default" w:ascii="Times New Roman" w:hAnsi="Times New Roman" w:eastAsia="仿宋_GB2312" w:cs="Times New Roman"/>
          <w:color w:val="auto"/>
          <w:sz w:val="30"/>
          <w:szCs w:val="30"/>
          <w:highlight w:val="none"/>
        </w:rPr>
        <w:t>9</w:t>
      </w:r>
      <w:bookmarkEnd w:id="60"/>
      <w:r>
        <w:rPr>
          <w:rFonts w:hint="default" w:ascii="Times New Roman" w:hAnsi="Times New Roman" w:eastAsia="仿宋_GB2312" w:cs="Times New Roman"/>
          <w:color w:val="auto"/>
          <w:sz w:val="30"/>
          <w:szCs w:val="30"/>
          <w:highlight w:val="none"/>
        </w:rPr>
        <w:fldChar w:fldCharType="end"/>
      </w:r>
    </w:p>
    <w:p w14:paraId="192A5B81">
      <w:pPr>
        <w:pStyle w:val="56"/>
        <w:tabs>
          <w:tab w:val="right" w:leader="dot" w:pos="8312"/>
        </w:tabs>
        <w:spacing w:beforeLines="0" w:afterLines="0" w:line="500" w:lineRule="exac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fldChar w:fldCharType="begin"/>
      </w:r>
      <w:r>
        <w:rPr>
          <w:rFonts w:hint="default" w:ascii="Times New Roman" w:hAnsi="Times New Roman" w:eastAsia="仿宋_GB2312" w:cs="Times New Roman"/>
          <w:color w:val="auto"/>
          <w:sz w:val="30"/>
          <w:szCs w:val="30"/>
          <w:highlight w:val="none"/>
        </w:rPr>
        <w:instrText xml:space="preserve"> HYPERLINK \l _Toc12355_WPSOffice_Level1 </w:instrText>
      </w:r>
      <w:r>
        <w:rPr>
          <w:rFonts w:hint="default" w:ascii="Times New Roman" w:hAnsi="Times New Roman" w:eastAsia="仿宋_GB2312" w:cs="Times New Roman"/>
          <w:color w:val="auto"/>
          <w:sz w:val="30"/>
          <w:szCs w:val="30"/>
          <w:highlight w:val="none"/>
        </w:rPr>
        <w:fldChar w:fldCharType="separate"/>
      </w:r>
      <w:r>
        <w:rPr>
          <w:rFonts w:hint="default" w:ascii="Times New Roman" w:hAnsi="Times New Roman" w:eastAsia="仿宋_GB2312" w:cs="Times New Roman"/>
          <w:color w:val="auto"/>
          <w:sz w:val="30"/>
          <w:szCs w:val="30"/>
          <w:highlight w:val="none"/>
        </w:rPr>
        <w:t>签  署  页</w:t>
      </w:r>
      <w:r>
        <w:rPr>
          <w:rFonts w:hint="default" w:ascii="Times New Roman" w:hAnsi="Times New Roman" w:eastAsia="仿宋_GB2312" w:cs="Times New Roman"/>
          <w:color w:val="auto"/>
          <w:sz w:val="30"/>
          <w:szCs w:val="30"/>
          <w:highlight w:val="none"/>
        </w:rPr>
        <w:tab/>
      </w:r>
      <w:bookmarkStart w:id="61" w:name="_Toc12355_WPSOffice_Level1Page"/>
      <w:r>
        <w:rPr>
          <w:rFonts w:hint="default" w:ascii="Times New Roman" w:hAnsi="Times New Roman" w:eastAsia="仿宋_GB2312" w:cs="Times New Roman"/>
          <w:color w:val="auto"/>
          <w:sz w:val="30"/>
          <w:szCs w:val="30"/>
          <w:highlight w:val="none"/>
        </w:rPr>
        <w:t>10</w:t>
      </w:r>
      <w:bookmarkEnd w:id="61"/>
      <w:r>
        <w:rPr>
          <w:rFonts w:hint="default" w:ascii="Times New Roman" w:hAnsi="Times New Roman" w:eastAsia="仿宋_GB2312" w:cs="Times New Roman"/>
          <w:color w:val="auto"/>
          <w:sz w:val="30"/>
          <w:szCs w:val="30"/>
          <w:highlight w:val="none"/>
        </w:rPr>
        <w:fldChar w:fldCharType="end"/>
      </w:r>
    </w:p>
    <w:p w14:paraId="7E65C74E">
      <w:pPr>
        <w:tabs>
          <w:tab w:val="right" w:leader="middleDot" w:pos="8400"/>
        </w:tabs>
        <w:rPr>
          <w:rFonts w:ascii="仿宋" w:hAnsi="仿宋" w:eastAsia="仿宋" w:cs="仿宋"/>
          <w:color w:val="auto"/>
          <w:sz w:val="22"/>
          <w:szCs w:val="22"/>
          <w:highlight w:val="none"/>
        </w:rPr>
      </w:pPr>
    </w:p>
    <w:p w14:paraId="1255C421">
      <w:pPr>
        <w:rPr>
          <w:rFonts w:ascii="仿宋" w:hAnsi="仿宋" w:eastAsia="仿宋" w:cs="仿宋"/>
          <w:color w:val="auto"/>
          <w:sz w:val="22"/>
          <w:szCs w:val="22"/>
          <w:highlight w:val="none"/>
        </w:rPr>
      </w:pPr>
    </w:p>
    <w:p w14:paraId="3B1BFDB0">
      <w:pPr>
        <w:rPr>
          <w:rFonts w:ascii="仿宋" w:hAnsi="仿宋" w:eastAsia="仿宋" w:cs="仿宋"/>
          <w:color w:val="auto"/>
          <w:sz w:val="22"/>
          <w:szCs w:val="22"/>
          <w:highlight w:val="none"/>
        </w:rPr>
      </w:pPr>
    </w:p>
    <w:p w14:paraId="02A36982">
      <w:pPr>
        <w:rPr>
          <w:rFonts w:ascii="仿宋" w:hAnsi="仿宋" w:eastAsia="仿宋" w:cs="仿宋"/>
          <w:color w:val="auto"/>
          <w:sz w:val="16"/>
          <w:szCs w:val="16"/>
          <w:highlight w:val="none"/>
        </w:rPr>
      </w:pPr>
    </w:p>
    <w:p w14:paraId="63E40841">
      <w:pPr>
        <w:rPr>
          <w:rFonts w:ascii="仿宋" w:hAnsi="仿宋" w:eastAsia="仿宋" w:cs="仿宋"/>
          <w:color w:val="auto"/>
          <w:sz w:val="36"/>
          <w:szCs w:val="36"/>
          <w:highlight w:val="none"/>
        </w:rPr>
      </w:pPr>
      <w:bookmarkStart w:id="62" w:name="_Toc351203480"/>
      <w:r>
        <w:rPr>
          <w:rFonts w:hint="eastAsia" w:ascii="仿宋" w:hAnsi="仿宋" w:eastAsia="仿宋" w:cs="仿宋"/>
          <w:color w:val="auto"/>
          <w:sz w:val="36"/>
          <w:szCs w:val="36"/>
          <w:highlight w:val="none"/>
        </w:rPr>
        <w:br w:type="page"/>
      </w:r>
    </w:p>
    <w:bookmarkEnd w:id="48"/>
    <w:bookmarkEnd w:id="49"/>
    <w:bookmarkEnd w:id="62"/>
    <w:p w14:paraId="70E8C060">
      <w:pPr>
        <w:spacing w:before="0" w:beforeLines="0" w:after="0" w:afterLines="0" w:line="500" w:lineRule="exact"/>
        <w:rPr>
          <w:rFonts w:hint="default" w:ascii="Times New Roman" w:hAnsi="Times New Roman" w:eastAsia="仿宋_GB2312" w:cs="Times New Roman"/>
          <w:snapToGrid w:val="0"/>
          <w:color w:val="auto"/>
          <w:kern w:val="0"/>
          <w:sz w:val="24"/>
          <w:szCs w:val="24"/>
          <w:highlight w:val="none"/>
          <w:lang w:eastAsia="zh-CN"/>
        </w:rPr>
      </w:pPr>
      <w:bookmarkStart w:id="63" w:name="_Toc785_WPSOffice_Level1"/>
      <w:r>
        <w:rPr>
          <w:rFonts w:hint="default" w:ascii="Times New Roman" w:hAnsi="Times New Roman" w:eastAsia="仿宋_GB2312" w:cs="Times New Roman"/>
          <w:snapToGrid w:val="0"/>
          <w:color w:val="auto"/>
          <w:kern w:val="0"/>
          <w:sz w:val="24"/>
          <w:szCs w:val="24"/>
          <w:highlight w:val="none"/>
        </w:rPr>
        <w:t>委托方（甲方）：</w:t>
      </w:r>
    </w:p>
    <w:p w14:paraId="791668C0">
      <w:pPr>
        <w:widowControl/>
        <w:spacing w:before="0" w:beforeLines="0" w:after="0" w:afterLines="0" w:line="500" w:lineRule="exact"/>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受托方（乙方）：</w:t>
      </w:r>
    </w:p>
    <w:p w14:paraId="732DFBB0">
      <w:pPr>
        <w:widowControl/>
        <w:spacing w:before="0" w:beforeLines="0" w:after="0" w:afterLines="0" w:line="500" w:lineRule="exact"/>
        <w:ind w:firstLine="480" w:firstLineChars="200"/>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 xml:space="preserve">                               </w:t>
      </w:r>
    </w:p>
    <w:p w14:paraId="6C865D1C">
      <w:pPr>
        <w:widowControl/>
        <w:snapToGrid/>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鉴于甲方拟委托乙方开展</w:t>
      </w:r>
      <w:r>
        <w:rPr>
          <w:rFonts w:hint="default" w:ascii="Times New Roman" w:hAnsi="Times New Roman" w:eastAsia="仿宋_GB2312" w:cs="Times New Roman"/>
          <w:color w:val="auto"/>
          <w:sz w:val="24"/>
          <w:szCs w:val="24"/>
          <w:highlight w:val="none"/>
          <w:u w:val="single"/>
        </w:rPr>
        <w:t xml:space="preserve"> </w:t>
      </w:r>
      <w:r>
        <w:rPr>
          <w:rFonts w:hint="eastAsia" w:eastAsia="仿宋_GB2312" w:cs="Times New Roman"/>
          <w:color w:val="auto"/>
          <w:sz w:val="24"/>
          <w:szCs w:val="24"/>
          <w:highlight w:val="none"/>
          <w:u w:val="single"/>
          <w:lang w:eastAsia="zh-CN"/>
        </w:rPr>
        <w:t>G330铜陵段一级公路改建工程（一期）横埠至陈瑶湖段涉及500kV文官5391都山5392线143#塔改造工程设计</w:t>
      </w:r>
      <w:r>
        <w:rPr>
          <w:rFonts w:hint="default" w:ascii="Times New Roman" w:hAnsi="Times New Roman" w:eastAsia="仿宋_GB2312" w:cs="Times New Roman"/>
          <w:color w:val="auto"/>
          <w:sz w:val="24"/>
          <w:szCs w:val="24"/>
          <w:highlight w:val="none"/>
          <w:u w:val="single"/>
          <w:lang w:eastAsia="zh-CN"/>
        </w:rPr>
        <w:t>（</w:t>
      </w:r>
      <w:r>
        <w:rPr>
          <w:rFonts w:hint="default" w:ascii="Times New Roman" w:hAnsi="Times New Roman" w:eastAsia="仿宋_GB2312" w:cs="Times New Roman"/>
          <w:color w:val="auto"/>
          <w:sz w:val="24"/>
          <w:szCs w:val="24"/>
          <w:highlight w:val="none"/>
          <w:u w:val="single"/>
          <w:lang w:val="en-US" w:eastAsia="zh-CN"/>
        </w:rPr>
        <w:t>以下简称为“本工程”</w:t>
      </w:r>
      <w:r>
        <w:rPr>
          <w:rFonts w:hint="default" w:ascii="Times New Roman" w:hAnsi="Times New Roman" w:eastAsia="仿宋_GB2312" w:cs="Times New Roman"/>
          <w:color w:val="auto"/>
          <w:sz w:val="24"/>
          <w:szCs w:val="24"/>
          <w:highlight w:val="none"/>
          <w:u w:val="single"/>
          <w:lang w:eastAsia="zh-CN"/>
        </w:rPr>
        <w:t>）</w:t>
      </w:r>
      <w:r>
        <w:rPr>
          <w:rFonts w:hint="eastAsia" w:ascii="Times New Roman" w:hAnsi="Times New Roman" w:eastAsia="仿宋_GB2312" w:cs="Times New Roman"/>
          <w:color w:val="auto"/>
          <w:sz w:val="24"/>
          <w:szCs w:val="24"/>
          <w:highlight w:val="none"/>
          <w:u w:val="single"/>
          <w:lang w:eastAsia="zh-CN"/>
        </w:rPr>
        <w:t>勘察设计</w:t>
      </w:r>
      <w:r>
        <w:rPr>
          <w:rFonts w:hint="default" w:ascii="Times New Roman" w:hAnsi="Times New Roman" w:eastAsia="仿宋_GB2312" w:cs="Times New Roman"/>
          <w:color w:val="auto"/>
          <w:sz w:val="24"/>
          <w:szCs w:val="24"/>
          <w:highlight w:val="none"/>
        </w:rPr>
        <w:t>工作，且乙方同意接受该委托，根据《中华人民共和国民法典》等法律法规，双方经协商一致，订立本合同。</w:t>
      </w:r>
    </w:p>
    <w:p w14:paraId="5223EA0C">
      <w:pPr>
        <w:numPr>
          <w:ilvl w:val="0"/>
          <w:numId w:val="0"/>
        </w:numPr>
        <w:spacing w:before="0" w:beforeLines="0" w:after="0" w:afterLines="0" w:line="500" w:lineRule="exact"/>
        <w:ind w:firstLine="482" w:firstLineChars="200"/>
        <w:outlineLvl w:val="0"/>
        <w:rPr>
          <w:rFonts w:hint="default" w:ascii="Times New Roman" w:hAnsi="Times New Roman" w:eastAsia="仿宋_GB2312" w:cs="Times New Roman"/>
          <w:b/>
          <w:bCs/>
          <w:color w:val="auto"/>
          <w:kern w:val="2"/>
          <w:sz w:val="24"/>
          <w:szCs w:val="24"/>
          <w:highlight w:val="none"/>
        </w:rPr>
      </w:pPr>
      <w:bookmarkStart w:id="64" w:name="_Toc370671927"/>
      <w:bookmarkStart w:id="65" w:name="_Toc8697_WPSOffice_Level1"/>
      <w:bookmarkStart w:id="66" w:name="_Toc932596347"/>
      <w:bookmarkStart w:id="67" w:name="_Toc40941762"/>
      <w:r>
        <w:rPr>
          <w:rFonts w:hint="default" w:ascii="Times New Roman" w:hAnsi="Times New Roman" w:eastAsia="仿宋_GB2312" w:cs="Times New Roman"/>
          <w:b/>
          <w:bCs/>
          <w:color w:val="auto"/>
          <w:kern w:val="2"/>
          <w:sz w:val="24"/>
          <w:szCs w:val="24"/>
          <w:highlight w:val="none"/>
        </w:rPr>
        <w:t>1.工作内容</w:t>
      </w:r>
      <w:bookmarkEnd w:id="64"/>
      <w:bookmarkEnd w:id="65"/>
      <w:bookmarkEnd w:id="66"/>
      <w:bookmarkEnd w:id="67"/>
    </w:p>
    <w:p w14:paraId="55B246AA">
      <w:pPr>
        <w:widowControl/>
        <w:snapToGrid/>
        <w:spacing w:before="0" w:beforeLines="0" w:after="0" w:afterLines="0" w:line="500" w:lineRule="exact"/>
        <w:ind w:firstLine="480" w:firstLineChars="200"/>
        <w:rPr>
          <w:rFonts w:hint="eastAsia"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val="en-US" w:eastAsia="zh-CN"/>
        </w:rPr>
        <w:t>1.1</w:t>
      </w:r>
      <w:r>
        <w:rPr>
          <w:rFonts w:hint="default" w:ascii="Times New Roman" w:hAnsi="Times New Roman" w:eastAsia="仿宋_GB2312" w:cs="Times New Roman"/>
          <w:color w:val="auto"/>
          <w:sz w:val="24"/>
          <w:szCs w:val="24"/>
          <w:highlight w:val="none"/>
        </w:rPr>
        <w:t>乙方完成</w:t>
      </w:r>
      <w:r>
        <w:rPr>
          <w:rFonts w:hint="default" w:ascii="Times New Roman" w:hAnsi="Times New Roman" w:eastAsia="仿宋_GB2312" w:cs="Times New Roman"/>
          <w:color w:val="auto"/>
          <w:sz w:val="24"/>
          <w:szCs w:val="24"/>
          <w:highlight w:val="none"/>
          <w:lang w:val="en-US" w:eastAsia="zh-CN"/>
        </w:rPr>
        <w:t>本工程</w:t>
      </w:r>
      <w:r>
        <w:rPr>
          <w:rFonts w:hint="eastAsia" w:ascii="Times New Roman" w:hAnsi="Times New Roman" w:eastAsia="仿宋_GB2312" w:cs="Times New Roman"/>
          <w:color w:val="auto"/>
          <w:sz w:val="24"/>
          <w:szCs w:val="24"/>
          <w:highlight w:val="none"/>
          <w:lang w:eastAsia="zh-CN"/>
        </w:rPr>
        <w:t>勘察设计</w:t>
      </w:r>
      <w:r>
        <w:rPr>
          <w:rFonts w:hint="default" w:ascii="Times New Roman" w:hAnsi="Times New Roman" w:eastAsia="仿宋_GB2312" w:cs="Times New Roman"/>
          <w:color w:val="auto"/>
          <w:sz w:val="24"/>
          <w:szCs w:val="24"/>
          <w:highlight w:val="none"/>
        </w:rPr>
        <w:t>工作,</w:t>
      </w:r>
      <w:r>
        <w:rPr>
          <w:rFonts w:hint="default" w:ascii="Times New Roman" w:hAnsi="Times New Roman" w:eastAsia="仿宋_GB2312" w:cs="Times New Roman"/>
          <w:color w:val="auto"/>
          <w:sz w:val="24"/>
          <w:szCs w:val="24"/>
          <w:highlight w:val="none"/>
          <w:lang w:val="en-US" w:eastAsia="zh-CN"/>
        </w:rPr>
        <w:t>包括</w:t>
      </w:r>
      <w:r>
        <w:rPr>
          <w:rFonts w:hint="eastAsia" w:ascii="Times New Roman" w:hAnsi="Times New Roman" w:eastAsia="仿宋_GB2312" w:cs="Times New Roman"/>
          <w:color w:val="auto"/>
          <w:sz w:val="24"/>
          <w:szCs w:val="24"/>
          <w:highlight w:val="none"/>
        </w:rPr>
        <w:t>勘察</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初步设计</w:t>
      </w:r>
      <w:r>
        <w:rPr>
          <w:rFonts w:hint="eastAsia" w:ascii="Times New Roman" w:hAnsi="Times New Roman" w:eastAsia="仿宋_GB2312" w:cs="Times New Roman"/>
          <w:color w:val="auto"/>
          <w:sz w:val="24"/>
          <w:szCs w:val="24"/>
          <w:highlight w:val="none"/>
          <w:lang w:val="en-US" w:eastAsia="zh-CN"/>
        </w:rPr>
        <w:t>(含概算编制)</w:t>
      </w:r>
      <w:r>
        <w:rPr>
          <w:rFonts w:hint="default" w:ascii="Times New Roman" w:hAnsi="Times New Roman" w:eastAsia="仿宋_GB2312" w:cs="Times New Roman"/>
          <w:color w:val="auto"/>
          <w:sz w:val="24"/>
          <w:szCs w:val="24"/>
          <w:highlight w:val="none"/>
          <w:lang w:val="en-US" w:eastAsia="zh-CN"/>
        </w:rPr>
        <w:t>、施工图设计</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rPr>
        <w:t>含预算编制）</w:t>
      </w:r>
      <w:r>
        <w:rPr>
          <w:rFonts w:hint="default" w:ascii="Times New Roman" w:hAnsi="Times New Roman" w:eastAsia="仿宋_GB2312" w:cs="Times New Roman"/>
          <w:color w:val="auto"/>
          <w:sz w:val="24"/>
          <w:szCs w:val="24"/>
          <w:highlight w:val="none"/>
          <w:lang w:val="en-US" w:eastAsia="zh-CN"/>
        </w:rPr>
        <w:t>、竣工图清单编制、审查、评审及相关配套服务</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rPr>
        <w:t>为切实做好设计服务工作，设计人应成立项目后续服务小组，设计代表1名，人员需常驻施工现场，并由发包人或其受托人进行考勤。同时，设计人应委派单位领导一名负责后续服务协调工作。</w:t>
      </w:r>
    </w:p>
    <w:p w14:paraId="3F6F9576">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lang w:val="en-US" w:eastAsia="zh-CN"/>
        </w:rPr>
      </w:pPr>
    </w:p>
    <w:p w14:paraId="20909D40">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1.2</w:t>
      </w:r>
      <w:r>
        <w:rPr>
          <w:rFonts w:hint="eastAsia" w:ascii="仿宋" w:hAnsi="仿宋" w:eastAsia="仿宋" w:cs="仿宋"/>
          <w:color w:val="auto"/>
          <w:sz w:val="24"/>
          <w:szCs w:val="24"/>
          <w:highlight w:val="none"/>
        </w:rPr>
        <w:t>设计分包的一般约定：</w:t>
      </w:r>
      <w:r>
        <w:rPr>
          <w:rFonts w:hint="eastAsia" w:ascii="仿宋" w:hAnsi="仿宋" w:eastAsia="仿宋" w:cs="仿宋"/>
          <w:color w:val="auto"/>
          <w:sz w:val="24"/>
          <w:szCs w:val="24"/>
          <w:highlight w:val="none"/>
          <w:u w:val="single"/>
        </w:rPr>
        <w:t xml:space="preserve">除发包人允许的范围外，其它内容禁止分包  </w:t>
      </w:r>
      <w:r>
        <w:rPr>
          <w:rFonts w:hint="eastAsia" w:ascii="仿宋" w:hAnsi="仿宋" w:eastAsia="仿宋" w:cs="仿宋"/>
          <w:color w:val="auto"/>
          <w:sz w:val="24"/>
          <w:szCs w:val="24"/>
          <w:highlight w:val="none"/>
        </w:rPr>
        <w:t>。</w:t>
      </w:r>
    </w:p>
    <w:p w14:paraId="4D551414">
      <w:pPr>
        <w:numPr>
          <w:ilvl w:val="0"/>
          <w:numId w:val="0"/>
        </w:numPr>
        <w:spacing w:before="0" w:beforeLines="0" w:after="0" w:afterLines="0" w:line="500" w:lineRule="exact"/>
        <w:ind w:firstLine="482" w:firstLineChars="200"/>
        <w:outlineLvl w:val="0"/>
        <w:rPr>
          <w:rFonts w:hint="default" w:ascii="Times New Roman" w:hAnsi="Times New Roman" w:eastAsia="仿宋_GB2312" w:cs="Times New Roman"/>
          <w:b/>
          <w:bCs/>
          <w:color w:val="auto"/>
          <w:kern w:val="2"/>
          <w:sz w:val="24"/>
          <w:szCs w:val="24"/>
          <w:highlight w:val="none"/>
        </w:rPr>
      </w:pPr>
      <w:bookmarkStart w:id="68" w:name="_Toc1811148223"/>
      <w:bookmarkStart w:id="69" w:name="_Toc370671928"/>
      <w:bookmarkStart w:id="70" w:name="_Toc11340_WPSOffice_Level1"/>
      <w:bookmarkStart w:id="71" w:name="_Toc40941763"/>
      <w:r>
        <w:rPr>
          <w:rFonts w:hint="default" w:ascii="Times New Roman" w:hAnsi="Times New Roman" w:eastAsia="仿宋_GB2312" w:cs="Times New Roman"/>
          <w:b/>
          <w:bCs/>
          <w:color w:val="auto"/>
          <w:kern w:val="2"/>
          <w:sz w:val="24"/>
          <w:szCs w:val="24"/>
          <w:highlight w:val="none"/>
        </w:rPr>
        <w:t>2.工作进度</w:t>
      </w:r>
      <w:bookmarkEnd w:id="68"/>
      <w:bookmarkEnd w:id="69"/>
      <w:bookmarkEnd w:id="70"/>
      <w:bookmarkEnd w:id="71"/>
      <w:r>
        <w:rPr>
          <w:rFonts w:hint="default" w:ascii="Times New Roman" w:hAnsi="Times New Roman" w:eastAsia="仿宋_GB2312" w:cs="Times New Roman"/>
          <w:b/>
          <w:bCs/>
          <w:color w:val="auto"/>
          <w:kern w:val="2"/>
          <w:sz w:val="24"/>
          <w:szCs w:val="24"/>
          <w:highlight w:val="none"/>
        </w:rPr>
        <w:t xml:space="preserve"> </w:t>
      </w:r>
    </w:p>
    <w:p w14:paraId="6CCAE880">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2.1乙方应按以下进度计划开展工作：</w:t>
      </w:r>
    </w:p>
    <w:p w14:paraId="248D4F6E">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u w:val="single"/>
          <w:lang w:val="en-US" w:eastAsia="zh-CN"/>
        </w:rPr>
      </w:pPr>
      <w:r>
        <w:rPr>
          <w:rFonts w:hint="eastAsia" w:eastAsia="仿宋_GB2312" w:cs="Times New Roman"/>
          <w:color w:val="auto"/>
          <w:sz w:val="24"/>
          <w:szCs w:val="24"/>
          <w:highlight w:val="none"/>
          <w:u w:val="single"/>
          <w:lang w:val="en-US" w:eastAsia="zh-CN"/>
        </w:rPr>
        <w:t xml:space="preserve">                                                                             </w:t>
      </w:r>
    </w:p>
    <w:p w14:paraId="2E13D608">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u w:val="single"/>
          <w:lang w:val="en-US" w:eastAsia="zh-CN"/>
        </w:rPr>
      </w:pPr>
      <w:r>
        <w:rPr>
          <w:rFonts w:hint="eastAsia" w:eastAsia="仿宋_GB2312" w:cs="Times New Roman"/>
          <w:color w:val="auto"/>
          <w:sz w:val="24"/>
          <w:szCs w:val="24"/>
          <w:highlight w:val="none"/>
          <w:u w:val="single"/>
          <w:lang w:val="en-US" w:eastAsia="zh-CN"/>
        </w:rPr>
        <w:t xml:space="preserve">                                                                                </w:t>
      </w:r>
    </w:p>
    <w:p w14:paraId="2213452F">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2.2甲方未能按时提供基础资料或变更项目内容，导致乙方工作延误的，可相应顺延工作进度。</w:t>
      </w:r>
    </w:p>
    <w:p w14:paraId="3602DA5E">
      <w:pPr>
        <w:numPr>
          <w:ilvl w:val="0"/>
          <w:numId w:val="0"/>
        </w:numPr>
        <w:spacing w:before="0" w:beforeLines="0" w:after="0" w:afterLines="0" w:line="500" w:lineRule="exact"/>
        <w:ind w:firstLine="482" w:firstLineChars="200"/>
        <w:outlineLvl w:val="0"/>
        <w:rPr>
          <w:rFonts w:hint="default" w:ascii="Times New Roman" w:hAnsi="Times New Roman" w:eastAsia="仿宋_GB2312" w:cs="Times New Roman"/>
          <w:b/>
          <w:bCs/>
          <w:color w:val="auto"/>
          <w:kern w:val="2"/>
          <w:sz w:val="24"/>
          <w:szCs w:val="24"/>
          <w:highlight w:val="none"/>
        </w:rPr>
      </w:pPr>
      <w:r>
        <w:rPr>
          <w:rFonts w:hint="default" w:ascii="Times New Roman" w:hAnsi="Times New Roman" w:eastAsia="仿宋_GB2312" w:cs="Times New Roman"/>
          <w:b/>
          <w:bCs/>
          <w:color w:val="auto"/>
          <w:kern w:val="2"/>
          <w:sz w:val="24"/>
          <w:szCs w:val="24"/>
          <w:highlight w:val="none"/>
          <w:lang w:val="en-US" w:eastAsia="zh-CN"/>
        </w:rPr>
        <w:t>3</w:t>
      </w:r>
      <w:r>
        <w:rPr>
          <w:rFonts w:hint="default" w:ascii="Times New Roman" w:hAnsi="Times New Roman" w:eastAsia="仿宋_GB2312" w:cs="Times New Roman"/>
          <w:b/>
          <w:bCs/>
          <w:color w:val="auto"/>
          <w:kern w:val="2"/>
          <w:sz w:val="24"/>
          <w:szCs w:val="24"/>
          <w:highlight w:val="none"/>
        </w:rPr>
        <w:t>.工作成果</w:t>
      </w:r>
    </w:p>
    <w:p w14:paraId="52066219">
      <w:pPr>
        <w:snapToGrid w:val="0"/>
        <w:spacing w:beforeLines="0" w:afterLines="0" w:line="500" w:lineRule="exact"/>
        <w:ind w:firstLine="480" w:firstLineChars="200"/>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初步设计(含概算)：</w:t>
      </w:r>
      <w:r>
        <w:rPr>
          <w:rFonts w:hint="default" w:ascii="Times New Roman" w:hAnsi="Times New Roman" w:eastAsia="仿宋_GB2312" w:cs="Times New Roman"/>
          <w:color w:val="auto"/>
          <w:sz w:val="24"/>
          <w:szCs w:val="24"/>
          <w:highlight w:val="none"/>
        </w:rPr>
        <w:t>12份；</w:t>
      </w:r>
    </w:p>
    <w:p w14:paraId="51D3675C">
      <w:pPr>
        <w:snapToGrid w:val="0"/>
        <w:spacing w:beforeLines="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施工图设计(含预算）：12份；</w:t>
      </w:r>
    </w:p>
    <w:p w14:paraId="06715DFC">
      <w:pPr>
        <w:snapToGrid w:val="0"/>
        <w:spacing w:beforeLines="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竣工图：12份；</w:t>
      </w:r>
    </w:p>
    <w:p w14:paraId="70B466ED">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72" w:name="_Toc42926908"/>
      <w:bookmarkStart w:id="73" w:name="_Toc1300_WPSOffice_Level1"/>
      <w:bookmarkStart w:id="74" w:name="_Toc884485697"/>
      <w:bookmarkStart w:id="75" w:name="_Toc40941767"/>
      <w:bookmarkStart w:id="76" w:name="_Toc370671932"/>
      <w:r>
        <w:rPr>
          <w:rFonts w:hint="default" w:ascii="Times New Roman" w:hAnsi="Times New Roman" w:eastAsia="仿宋_GB2312" w:cs="Times New Roman"/>
          <w:b/>
          <w:bCs/>
          <w:color w:val="auto"/>
          <w:kern w:val="2"/>
          <w:sz w:val="24"/>
          <w:szCs w:val="24"/>
          <w:highlight w:val="none"/>
          <w:lang w:val="en-US" w:eastAsia="zh-CN"/>
        </w:rPr>
        <w:t>4</w:t>
      </w:r>
      <w:r>
        <w:rPr>
          <w:rFonts w:hint="default" w:ascii="Times New Roman" w:hAnsi="Times New Roman" w:eastAsia="仿宋_GB2312" w:cs="Times New Roman"/>
          <w:b/>
          <w:bCs/>
          <w:color w:val="auto"/>
          <w:kern w:val="2"/>
          <w:sz w:val="24"/>
          <w:szCs w:val="24"/>
          <w:highlight w:val="none"/>
        </w:rPr>
        <w:t>.合同价格</w:t>
      </w:r>
      <w:bookmarkEnd w:id="72"/>
      <w:r>
        <w:rPr>
          <w:rFonts w:hint="default" w:ascii="Times New Roman" w:hAnsi="Times New Roman" w:eastAsia="仿宋_GB2312" w:cs="Times New Roman"/>
          <w:b/>
          <w:bCs/>
          <w:color w:val="auto"/>
          <w:kern w:val="2"/>
          <w:sz w:val="24"/>
          <w:szCs w:val="24"/>
          <w:highlight w:val="none"/>
        </w:rPr>
        <w:t>及支付</w:t>
      </w:r>
      <w:bookmarkEnd w:id="73"/>
      <w:bookmarkEnd w:id="74"/>
      <w:bookmarkEnd w:id="75"/>
      <w:bookmarkEnd w:id="76"/>
    </w:p>
    <w:p w14:paraId="1EFBE704">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eastAsia="zh-CN"/>
        </w:rPr>
        <w:t>.1本项目设计收费依据和计算方法：</w:t>
      </w:r>
    </w:p>
    <w:p w14:paraId="1129BD31">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eastAsia="zh-CN"/>
        </w:rPr>
        <w:t>.1.</w:t>
      </w:r>
      <w:r>
        <w:rPr>
          <w:rFonts w:hint="eastAsia"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val="en-US" w:eastAsia="zh-CN"/>
        </w:rPr>
        <w:t>设计费</w:t>
      </w:r>
      <w:r>
        <w:rPr>
          <w:rFonts w:hint="eastAsia" w:eastAsia="仿宋_GB2312" w:cs="Times New Roman"/>
          <w:color w:val="auto"/>
          <w:sz w:val="24"/>
          <w:szCs w:val="24"/>
          <w:highlight w:val="none"/>
          <w:lang w:val="en-US" w:eastAsia="zh-CN"/>
        </w:rPr>
        <w:t>合同总额</w:t>
      </w:r>
      <w:r>
        <w:rPr>
          <w:rFonts w:hint="default" w:ascii="Times New Roman" w:hAnsi="Times New Roman" w:eastAsia="仿宋_GB2312" w:cs="Times New Roman"/>
          <w:color w:val="auto"/>
          <w:sz w:val="24"/>
          <w:szCs w:val="24"/>
          <w:highlight w:val="none"/>
          <w:lang w:val="en-US" w:eastAsia="zh-CN"/>
        </w:rPr>
        <w:t>=中标费率×经发包人公布的工程招标控制价总额（不含暂列金额），并以此作为发包人与设计人办理设计费结算的依据。</w:t>
      </w:r>
    </w:p>
    <w:p w14:paraId="627246A2">
      <w:pPr>
        <w:snapToGrid w:val="0"/>
        <w:spacing w:before="0" w:beforeLines="0" w:after="0" w:afterLines="0" w:line="500" w:lineRule="exact"/>
        <w:ind w:left="240" w:leftChars="120" w:firstLine="240" w:firstLineChars="100"/>
        <w:rPr>
          <w:rFonts w:hint="default" w:ascii="Times New Roman" w:hAnsi="Times New Roman" w:eastAsia="仿宋_GB2312" w:cs="Times New Roman"/>
          <w:color w:val="auto"/>
          <w:sz w:val="24"/>
          <w:szCs w:val="24"/>
          <w:highlight w:val="none"/>
          <w:lang w:val="en-US" w:eastAsia="zh-CN"/>
        </w:rPr>
      </w:pPr>
      <w:r>
        <w:rPr>
          <w:rFonts w:hint="eastAsia"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val="en-US" w:eastAsia="zh-CN"/>
        </w:rPr>
        <w:t>.2工程建设期间如遇建设规模、使用功能、概算等调整或设计变更等，设计</w:t>
      </w:r>
      <w:r>
        <w:rPr>
          <w:rFonts w:hint="eastAsia" w:eastAsia="仿宋_GB2312" w:cs="Times New Roman"/>
          <w:color w:val="auto"/>
          <w:sz w:val="24"/>
          <w:szCs w:val="24"/>
          <w:highlight w:val="none"/>
          <w:lang w:val="en-US" w:eastAsia="zh-CN"/>
        </w:rPr>
        <w:t>费率</w:t>
      </w:r>
      <w:r>
        <w:rPr>
          <w:rFonts w:hint="default" w:ascii="Times New Roman" w:hAnsi="Times New Roman" w:eastAsia="仿宋_GB2312" w:cs="Times New Roman"/>
          <w:color w:val="auto"/>
          <w:sz w:val="24"/>
          <w:szCs w:val="24"/>
          <w:highlight w:val="none"/>
          <w:lang w:val="en-US" w:eastAsia="zh-CN"/>
        </w:rPr>
        <w:t>不作调整。</w:t>
      </w:r>
    </w:p>
    <w:p w14:paraId="44C392C5">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rPr>
        <w:t>.</w:t>
      </w:r>
      <w:r>
        <w:rPr>
          <w:rFonts w:hint="eastAsia"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rPr>
        <w:t>合同价格</w:t>
      </w:r>
    </w:p>
    <w:p w14:paraId="1728CB2B">
      <w:pPr>
        <w:pStyle w:val="128"/>
        <w:spacing w:line="360" w:lineRule="auto"/>
        <w:ind w:firstLine="480" w:firstLineChars="200"/>
        <w:rPr>
          <w:rFonts w:ascii="仿宋" w:hAnsi="仿宋" w:eastAsia="仿宋" w:cs="仿宋"/>
          <w:color w:val="0000FF"/>
          <w:sz w:val="24"/>
          <w:szCs w:val="24"/>
          <w:highlight w:val="none"/>
        </w:rPr>
      </w:pPr>
      <w:r>
        <w:rPr>
          <w:rFonts w:hint="default" w:ascii="Times New Roman" w:hAnsi="Times New Roman" w:eastAsia="仿宋_GB2312" w:cs="Times New Roman"/>
          <w:color w:val="auto"/>
          <w:sz w:val="24"/>
          <w:szCs w:val="24"/>
          <w:highlight w:val="none"/>
          <w:lang w:val="en-US"/>
        </w:rPr>
        <w:t>本合同中设计费依据《电网技术改造工程预算编制与计算规定》（2020年版），勘察费依据国家计委、建设部 [2002]10号文-《工程勘察设计收费标准》(2002年修订本)等计费标准并结合市场行情确定。</w:t>
      </w:r>
      <w:r>
        <w:rPr>
          <w:rFonts w:hint="eastAsia" w:ascii="仿宋" w:hAnsi="仿宋" w:eastAsia="仿宋" w:cs="仿宋"/>
          <w:color w:val="0000FF"/>
          <w:sz w:val="24"/>
          <w:szCs w:val="24"/>
          <w:highlight w:val="none"/>
        </w:rPr>
        <w:t>各类评审论证及汇报等所需的评审专家费（含住宿、餐饮、会务、交通）和资料打复印费均由中标人承担。</w:t>
      </w:r>
    </w:p>
    <w:p w14:paraId="7E6AC67B">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rPr>
        <w:t>.</w:t>
      </w:r>
      <w:r>
        <w:rPr>
          <w:rFonts w:hint="eastAsia"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rPr>
        <w:t xml:space="preserve"> 支付</w:t>
      </w:r>
    </w:p>
    <w:p w14:paraId="1FF05987">
      <w:pPr>
        <w:numPr>
          <w:ilvl w:val="0"/>
          <w:numId w:val="0"/>
        </w:numPr>
        <w:snapToGrid w:val="0"/>
        <w:spacing w:before="0" w:beforeLines="0" w:after="0" w:afterLines="0" w:line="500" w:lineRule="exact"/>
        <w:ind w:left="0" w:firstLine="480" w:firstLineChars="200"/>
        <w:jc w:val="left"/>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w:t>
      </w:r>
      <w:r>
        <w:rPr>
          <w:rFonts w:hint="eastAsia" w:eastAsia="仿宋_GB2312" w:cs="Times New Roman"/>
          <w:color w:val="auto"/>
          <w:sz w:val="24"/>
          <w:szCs w:val="24"/>
          <w:highlight w:val="none"/>
          <w:lang w:val="en-US" w:eastAsia="zh-CN"/>
        </w:rPr>
        <w:t>1</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施工图完成交付后30日内，付</w:t>
      </w:r>
      <w:r>
        <w:rPr>
          <w:rFonts w:hint="eastAsia" w:eastAsia="仿宋_GB2312" w:cs="Times New Roman"/>
          <w:color w:val="auto"/>
          <w:sz w:val="24"/>
          <w:szCs w:val="24"/>
          <w:highlight w:val="none"/>
          <w:lang w:val="en-US" w:eastAsia="zh-CN"/>
        </w:rPr>
        <w:t>至</w:t>
      </w:r>
      <w:r>
        <w:rPr>
          <w:rFonts w:hint="eastAsia" w:ascii="Times New Roman" w:hAnsi="Times New Roman" w:eastAsia="仿宋_GB2312" w:cs="Times New Roman"/>
          <w:color w:val="auto"/>
          <w:sz w:val="24"/>
          <w:szCs w:val="24"/>
          <w:highlight w:val="none"/>
          <w:lang w:eastAsia="zh-CN"/>
        </w:rPr>
        <w:t>合同总价的</w:t>
      </w:r>
      <w:r>
        <w:rPr>
          <w:rFonts w:hint="eastAsia" w:eastAsia="仿宋_GB2312" w:cs="Times New Roman"/>
          <w:color w:val="auto"/>
          <w:sz w:val="24"/>
          <w:szCs w:val="24"/>
          <w:highlight w:val="none"/>
          <w:lang w:val="en-US" w:eastAsia="zh-CN"/>
        </w:rPr>
        <w:t>7</w:t>
      </w:r>
      <w:r>
        <w:rPr>
          <w:rFonts w:hint="eastAsia" w:ascii="Times New Roman" w:hAnsi="Times New Roman" w:eastAsia="仿宋_GB2312" w:cs="Times New Roman"/>
          <w:color w:val="auto"/>
          <w:sz w:val="24"/>
          <w:szCs w:val="24"/>
          <w:highlight w:val="none"/>
          <w:lang w:eastAsia="zh-CN"/>
        </w:rPr>
        <w:t>0%(￥</w:t>
      </w:r>
      <w:r>
        <w:rPr>
          <w:rFonts w:hint="eastAsia" w:ascii="Times New Roman" w:hAnsi="Times New Roman" w:eastAsia="仿宋_GB2312" w:cs="Times New Roman"/>
          <w:color w:val="auto"/>
          <w:sz w:val="24"/>
          <w:szCs w:val="24"/>
          <w:highlight w:val="none"/>
          <w:lang w:val="en-US" w:eastAsia="zh-CN"/>
        </w:rPr>
        <w:t xml:space="preserve">    </w:t>
      </w:r>
      <w:r>
        <w:rPr>
          <w:rFonts w:hint="eastAsia" w:ascii="Times New Roman" w:hAnsi="Times New Roman" w:eastAsia="仿宋_GB2312" w:cs="Times New Roman"/>
          <w:color w:val="auto"/>
          <w:sz w:val="24"/>
          <w:szCs w:val="24"/>
          <w:highlight w:val="none"/>
          <w:lang w:eastAsia="zh-CN"/>
        </w:rPr>
        <w:t>元，大写人民币：</w:t>
      </w:r>
      <w:r>
        <w:rPr>
          <w:rFonts w:hint="eastAsia" w:ascii="Times New Roman" w:hAnsi="Times New Roman" w:eastAsia="仿宋_GB2312" w:cs="Times New Roman"/>
          <w:color w:val="auto"/>
          <w:sz w:val="24"/>
          <w:szCs w:val="24"/>
          <w:highlight w:val="none"/>
          <w:lang w:val="en-US" w:eastAsia="zh-CN"/>
        </w:rPr>
        <w:t xml:space="preserve">    </w:t>
      </w:r>
      <w:r>
        <w:rPr>
          <w:rFonts w:hint="eastAsia" w:ascii="Times New Roman" w:hAnsi="Times New Roman" w:eastAsia="仿宋_GB2312" w:cs="Times New Roman"/>
          <w:color w:val="auto"/>
          <w:sz w:val="24"/>
          <w:szCs w:val="24"/>
          <w:highlight w:val="none"/>
          <w:lang w:eastAsia="zh-CN"/>
        </w:rPr>
        <w:t>）。</w:t>
      </w:r>
    </w:p>
    <w:p w14:paraId="007F3DEF">
      <w:pPr>
        <w:numPr>
          <w:ilvl w:val="0"/>
          <w:numId w:val="0"/>
        </w:numPr>
        <w:snapToGrid w:val="0"/>
        <w:spacing w:before="0" w:beforeLines="0" w:after="0" w:afterLines="0" w:line="500" w:lineRule="exact"/>
        <w:ind w:left="0" w:firstLine="480" w:firstLineChars="200"/>
        <w:jc w:val="left"/>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w:t>
      </w:r>
      <w:r>
        <w:rPr>
          <w:rFonts w:hint="eastAsia" w:eastAsia="仿宋_GB2312" w:cs="Times New Roman"/>
          <w:color w:val="auto"/>
          <w:sz w:val="24"/>
          <w:szCs w:val="24"/>
          <w:highlight w:val="none"/>
          <w:lang w:val="en-US" w:eastAsia="zh-CN"/>
        </w:rPr>
        <w:t>2</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竣工图完成交付后30日内，付</w:t>
      </w:r>
      <w:r>
        <w:rPr>
          <w:rFonts w:hint="eastAsia" w:eastAsia="仿宋_GB2312" w:cs="Times New Roman"/>
          <w:color w:val="auto"/>
          <w:sz w:val="24"/>
          <w:szCs w:val="24"/>
          <w:highlight w:val="none"/>
          <w:lang w:val="en-US" w:eastAsia="zh-CN"/>
        </w:rPr>
        <w:t>至</w:t>
      </w:r>
      <w:r>
        <w:rPr>
          <w:rFonts w:hint="eastAsia" w:ascii="Times New Roman" w:hAnsi="Times New Roman" w:eastAsia="仿宋_GB2312" w:cs="Times New Roman"/>
          <w:color w:val="auto"/>
          <w:sz w:val="24"/>
          <w:szCs w:val="24"/>
          <w:highlight w:val="none"/>
          <w:lang w:eastAsia="zh-CN"/>
        </w:rPr>
        <w:t>合同总价的</w:t>
      </w:r>
      <w:r>
        <w:rPr>
          <w:rFonts w:hint="eastAsia" w:eastAsia="仿宋_GB2312" w:cs="Times New Roman"/>
          <w:color w:val="auto"/>
          <w:sz w:val="24"/>
          <w:szCs w:val="24"/>
          <w:highlight w:val="none"/>
          <w:lang w:val="en-US" w:eastAsia="zh-CN"/>
        </w:rPr>
        <w:t>100</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 xml:space="preserve">    </w:t>
      </w:r>
      <w:r>
        <w:rPr>
          <w:rFonts w:hint="eastAsia" w:ascii="Times New Roman" w:hAnsi="Times New Roman" w:eastAsia="仿宋_GB2312" w:cs="Times New Roman"/>
          <w:color w:val="auto"/>
          <w:sz w:val="24"/>
          <w:szCs w:val="24"/>
          <w:highlight w:val="none"/>
          <w:lang w:eastAsia="zh-CN"/>
        </w:rPr>
        <w:t>元，大写人民币：</w:t>
      </w:r>
      <w:r>
        <w:rPr>
          <w:rFonts w:hint="eastAsia" w:ascii="Times New Roman" w:hAnsi="Times New Roman" w:eastAsia="仿宋_GB2312" w:cs="Times New Roman"/>
          <w:color w:val="auto"/>
          <w:sz w:val="24"/>
          <w:szCs w:val="24"/>
          <w:highlight w:val="none"/>
          <w:lang w:val="en-US" w:eastAsia="zh-CN"/>
        </w:rPr>
        <w:t xml:space="preserve">     </w:t>
      </w:r>
      <w:r>
        <w:rPr>
          <w:rFonts w:hint="eastAsia" w:ascii="Times New Roman" w:hAnsi="Times New Roman" w:eastAsia="仿宋_GB2312" w:cs="Times New Roman"/>
          <w:color w:val="auto"/>
          <w:sz w:val="24"/>
          <w:szCs w:val="24"/>
          <w:highlight w:val="none"/>
          <w:lang w:eastAsia="zh-CN"/>
        </w:rPr>
        <w:t>）。</w:t>
      </w:r>
    </w:p>
    <w:p w14:paraId="3AED6C8B">
      <w:pPr>
        <w:numPr>
          <w:ilvl w:val="0"/>
          <w:numId w:val="0"/>
        </w:numPr>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w:t>
      </w:r>
      <w:r>
        <w:rPr>
          <w:rFonts w:hint="eastAsia" w:eastAsia="仿宋_GB2312" w:cs="Times New Roman"/>
          <w:color w:val="auto"/>
          <w:sz w:val="24"/>
          <w:szCs w:val="24"/>
          <w:highlight w:val="none"/>
          <w:lang w:val="en-US" w:eastAsia="zh-CN"/>
        </w:rPr>
        <w:t>3</w:t>
      </w:r>
      <w:r>
        <w:rPr>
          <w:rFonts w:hint="default"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支付方式：银行转账。</w:t>
      </w:r>
    </w:p>
    <w:p w14:paraId="2563703D">
      <w:pPr>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乙方收款信息如下：</w:t>
      </w:r>
    </w:p>
    <w:p w14:paraId="540F513A">
      <w:pPr>
        <w:spacing w:before="0" w:beforeLines="0" w:after="0" w:afterLines="0" w:line="500" w:lineRule="exact"/>
        <w:ind w:firstLine="480" w:firstLineChars="200"/>
        <w:rPr>
          <w:rFonts w:hint="eastAsia"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账户名称：</w:t>
      </w:r>
      <w:r>
        <w:rPr>
          <w:rFonts w:hint="eastAsia" w:eastAsia="仿宋_GB2312" w:cs="Times New Roman"/>
          <w:color w:val="auto"/>
          <w:sz w:val="24"/>
          <w:szCs w:val="24"/>
          <w:highlight w:val="none"/>
          <w:lang w:val="en-US" w:eastAsia="zh-CN"/>
        </w:rPr>
        <w:t xml:space="preserve"> </w:t>
      </w:r>
    </w:p>
    <w:p w14:paraId="3F51D2A6">
      <w:pPr>
        <w:spacing w:before="0" w:beforeLines="0" w:after="0" w:afterLines="0" w:line="500" w:lineRule="exact"/>
        <w:ind w:firstLine="480" w:firstLineChars="200"/>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账号：</w:t>
      </w:r>
      <w:r>
        <w:rPr>
          <w:rFonts w:hint="eastAsia" w:eastAsia="仿宋_GB2312" w:cs="Times New Roman"/>
          <w:color w:val="auto"/>
          <w:sz w:val="24"/>
          <w:szCs w:val="24"/>
          <w:highlight w:val="none"/>
          <w:lang w:val="en-US" w:eastAsia="zh-CN"/>
        </w:rPr>
        <w:t xml:space="preserve"> </w:t>
      </w:r>
    </w:p>
    <w:p w14:paraId="169B065D">
      <w:pPr>
        <w:spacing w:before="0" w:beforeLines="0" w:after="0" w:afterLines="0" w:line="500" w:lineRule="exact"/>
        <w:ind w:firstLine="480" w:firstLineChars="200"/>
        <w:rPr>
          <w:rFonts w:hint="eastAsia"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开户行：</w:t>
      </w:r>
      <w:r>
        <w:rPr>
          <w:rFonts w:hint="eastAsia" w:eastAsia="仿宋_GB2312" w:cs="Times New Roman"/>
          <w:color w:val="auto"/>
          <w:sz w:val="24"/>
          <w:szCs w:val="24"/>
          <w:highlight w:val="none"/>
          <w:lang w:val="en-US" w:eastAsia="zh-CN"/>
        </w:rPr>
        <w:t xml:space="preserve"> </w:t>
      </w:r>
    </w:p>
    <w:p w14:paraId="59D64864">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77" w:name="_Toc8076"/>
      <w:bookmarkStart w:id="78" w:name="_Toc42926909"/>
      <w:bookmarkStart w:id="79" w:name="_Toc40941768"/>
      <w:bookmarkStart w:id="80" w:name="_Toc370671933"/>
      <w:bookmarkStart w:id="81" w:name="_Toc20355_WPSOffice_Level1"/>
      <w:bookmarkStart w:id="82" w:name="_Toc669304945"/>
      <w:r>
        <w:rPr>
          <w:rFonts w:hint="default" w:ascii="Times New Roman" w:hAnsi="Times New Roman" w:eastAsia="仿宋_GB2312" w:cs="Times New Roman"/>
          <w:b/>
          <w:bCs/>
          <w:color w:val="auto"/>
          <w:kern w:val="2"/>
          <w:sz w:val="24"/>
          <w:szCs w:val="24"/>
          <w:highlight w:val="none"/>
          <w:lang w:val="en-US" w:eastAsia="zh-CN"/>
        </w:rPr>
        <w:t>5</w:t>
      </w:r>
      <w:r>
        <w:rPr>
          <w:rFonts w:hint="default" w:ascii="Times New Roman" w:hAnsi="Times New Roman" w:eastAsia="仿宋_GB2312" w:cs="Times New Roman"/>
          <w:b/>
          <w:bCs/>
          <w:color w:val="auto"/>
          <w:kern w:val="2"/>
          <w:sz w:val="24"/>
          <w:szCs w:val="24"/>
          <w:highlight w:val="none"/>
        </w:rPr>
        <w:t>.知识产权</w:t>
      </w:r>
      <w:bookmarkEnd w:id="77"/>
    </w:p>
    <w:p w14:paraId="17C97504">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bookmarkStart w:id="83" w:name="_Toc27710"/>
      <w:r>
        <w:rPr>
          <w:rFonts w:hint="default" w:ascii="Times New Roman" w:hAnsi="Times New Roman" w:eastAsia="仿宋_GB2312" w:cs="Times New Roman"/>
          <w:color w:val="auto"/>
          <w:sz w:val="24"/>
          <w:szCs w:val="24"/>
          <w:highlight w:val="none"/>
          <w:lang w:val="en-US" w:eastAsia="zh-CN"/>
        </w:rPr>
        <w:t>5</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 xml:space="preserve"> 乙方所提交的</w:t>
      </w:r>
      <w:r>
        <w:rPr>
          <w:rFonts w:hint="default" w:ascii="Times New Roman" w:hAnsi="Times New Roman" w:eastAsia="仿宋_GB2312" w:cs="Times New Roman"/>
          <w:color w:val="auto"/>
          <w:sz w:val="24"/>
          <w:szCs w:val="24"/>
          <w:highlight w:val="none"/>
          <w:lang w:val="en-US" w:eastAsia="zh-CN"/>
        </w:rPr>
        <w:t>技术报告</w:t>
      </w:r>
      <w:r>
        <w:rPr>
          <w:rFonts w:hint="default" w:ascii="Times New Roman" w:hAnsi="Times New Roman" w:eastAsia="仿宋_GB2312" w:cs="Times New Roman"/>
          <w:color w:val="auto"/>
          <w:sz w:val="24"/>
          <w:szCs w:val="24"/>
          <w:highlight w:val="none"/>
        </w:rPr>
        <w:t>不应存在任何权利瑕疵，乙方应保证甲方免于遭受因第三方提起侵权索赔而产生的任何损失。如果任何第三方向甲方提起侵权索赔，乙方应负责与之进行交涉，并承担由此引起的一切责任。</w:t>
      </w:r>
    </w:p>
    <w:p w14:paraId="4D94E0CE">
      <w:pPr>
        <w:spacing w:before="0" w:beforeLines="0" w:after="0" w:afterLines="0" w:line="500" w:lineRule="exact"/>
        <w:ind w:firstLine="480" w:firstLineChars="200"/>
        <w:outlineLvl w:val="9"/>
        <w:rPr>
          <w:rFonts w:hint="default" w:ascii="Times New Roman" w:hAnsi="Times New Roman" w:eastAsia="仿宋_GB2312" w:cs="Times New Roman"/>
          <w:b w:val="0"/>
          <w:color w:val="auto"/>
          <w:kern w:val="2"/>
          <w:sz w:val="24"/>
          <w:szCs w:val="24"/>
          <w:highlight w:val="none"/>
        </w:rPr>
      </w:pPr>
      <w:r>
        <w:rPr>
          <w:rFonts w:hint="default" w:ascii="Times New Roman" w:hAnsi="Times New Roman" w:eastAsia="仿宋_GB2312" w:cs="Times New Roman"/>
          <w:b w:val="0"/>
          <w:color w:val="auto"/>
          <w:kern w:val="2"/>
          <w:sz w:val="24"/>
          <w:szCs w:val="24"/>
          <w:highlight w:val="none"/>
          <w:lang w:val="en-US" w:eastAsia="zh-CN"/>
        </w:rPr>
        <w:t>5</w:t>
      </w:r>
      <w:r>
        <w:rPr>
          <w:rFonts w:hint="default" w:ascii="Times New Roman" w:hAnsi="Times New Roman" w:eastAsia="仿宋_GB2312" w:cs="Times New Roman"/>
          <w:b w:val="0"/>
          <w:color w:val="auto"/>
          <w:kern w:val="2"/>
          <w:sz w:val="24"/>
          <w:szCs w:val="24"/>
          <w:highlight w:val="none"/>
        </w:rPr>
        <w:t>.</w:t>
      </w:r>
      <w:r>
        <w:rPr>
          <w:rFonts w:hint="default" w:ascii="Times New Roman" w:hAnsi="Times New Roman" w:eastAsia="仿宋_GB2312" w:cs="Times New Roman"/>
          <w:b w:val="0"/>
          <w:color w:val="auto"/>
          <w:kern w:val="2"/>
          <w:sz w:val="24"/>
          <w:szCs w:val="24"/>
          <w:highlight w:val="none"/>
          <w:lang w:val="en-US" w:eastAsia="zh-CN"/>
        </w:rPr>
        <w:t>2</w:t>
      </w:r>
      <w:r>
        <w:rPr>
          <w:rFonts w:hint="default" w:ascii="Times New Roman" w:hAnsi="Times New Roman" w:eastAsia="仿宋_GB2312" w:cs="Times New Roman"/>
          <w:b w:val="0"/>
          <w:color w:val="auto"/>
          <w:kern w:val="2"/>
          <w:sz w:val="24"/>
          <w:szCs w:val="24"/>
          <w:highlight w:val="none"/>
        </w:rPr>
        <w:t xml:space="preserve"> 甲方足额支付前述</w:t>
      </w:r>
      <w:r>
        <w:rPr>
          <w:rFonts w:hint="default" w:ascii="Times New Roman" w:hAnsi="Times New Roman" w:eastAsia="仿宋_GB2312" w:cs="Times New Roman"/>
          <w:b w:val="0"/>
          <w:color w:val="auto"/>
          <w:kern w:val="2"/>
          <w:sz w:val="24"/>
          <w:szCs w:val="24"/>
          <w:highlight w:val="none"/>
          <w:lang w:eastAsia="zh-CN"/>
        </w:rPr>
        <w:t>4</w:t>
      </w:r>
      <w:r>
        <w:rPr>
          <w:rFonts w:hint="default" w:ascii="Times New Roman" w:hAnsi="Times New Roman" w:eastAsia="仿宋_GB2312" w:cs="Times New Roman"/>
          <w:b w:val="0"/>
          <w:color w:val="auto"/>
          <w:kern w:val="2"/>
          <w:sz w:val="24"/>
          <w:szCs w:val="24"/>
          <w:highlight w:val="none"/>
        </w:rPr>
        <w:t>.</w:t>
      </w:r>
      <w:r>
        <w:rPr>
          <w:rFonts w:hint="eastAsia" w:ascii="Times New Roman" w:hAnsi="Times New Roman" w:eastAsia="仿宋_GB2312" w:cs="Times New Roman"/>
          <w:b w:val="0"/>
          <w:color w:val="auto"/>
          <w:kern w:val="2"/>
          <w:sz w:val="24"/>
          <w:szCs w:val="24"/>
          <w:highlight w:val="none"/>
          <w:lang w:eastAsia="zh-CN"/>
        </w:rPr>
        <w:t>1</w:t>
      </w:r>
      <w:r>
        <w:rPr>
          <w:rFonts w:hint="default" w:ascii="Times New Roman" w:hAnsi="Times New Roman" w:eastAsia="仿宋_GB2312" w:cs="Times New Roman"/>
          <w:b w:val="0"/>
          <w:color w:val="auto"/>
          <w:kern w:val="2"/>
          <w:sz w:val="24"/>
          <w:szCs w:val="24"/>
          <w:highlight w:val="none"/>
        </w:rPr>
        <w:t>节</w:t>
      </w:r>
      <w:r>
        <w:rPr>
          <w:rFonts w:hint="eastAsia" w:ascii="Times New Roman" w:hAnsi="Times New Roman" w:eastAsia="仿宋_GB2312" w:cs="Times New Roman"/>
          <w:b w:val="0"/>
          <w:color w:val="auto"/>
          <w:kern w:val="2"/>
          <w:sz w:val="24"/>
          <w:szCs w:val="24"/>
          <w:highlight w:val="none"/>
          <w:lang w:eastAsia="zh-CN"/>
        </w:rPr>
        <w:t>所有</w:t>
      </w:r>
      <w:r>
        <w:rPr>
          <w:rFonts w:hint="default" w:ascii="Times New Roman" w:hAnsi="Times New Roman" w:eastAsia="仿宋_GB2312" w:cs="Times New Roman"/>
          <w:b w:val="0"/>
          <w:color w:val="auto"/>
          <w:kern w:val="2"/>
          <w:sz w:val="24"/>
          <w:szCs w:val="24"/>
          <w:highlight w:val="none"/>
        </w:rPr>
        <w:t>款</w:t>
      </w:r>
      <w:r>
        <w:rPr>
          <w:rFonts w:hint="eastAsia" w:ascii="Times New Roman" w:hAnsi="Times New Roman" w:eastAsia="仿宋_GB2312" w:cs="Times New Roman"/>
          <w:b w:val="0"/>
          <w:color w:val="auto"/>
          <w:kern w:val="2"/>
          <w:sz w:val="24"/>
          <w:szCs w:val="24"/>
          <w:highlight w:val="none"/>
          <w:lang w:eastAsia="zh-CN"/>
        </w:rPr>
        <w:t>项</w:t>
      </w:r>
      <w:r>
        <w:rPr>
          <w:rFonts w:hint="default" w:ascii="Times New Roman" w:hAnsi="Times New Roman" w:eastAsia="仿宋_GB2312" w:cs="Times New Roman"/>
          <w:b w:val="0"/>
          <w:color w:val="auto"/>
          <w:kern w:val="2"/>
          <w:sz w:val="24"/>
          <w:szCs w:val="24"/>
          <w:highlight w:val="none"/>
        </w:rPr>
        <w:t>后，即视为获得乙方技术</w:t>
      </w:r>
      <w:r>
        <w:rPr>
          <w:rFonts w:hint="default" w:ascii="Times New Roman" w:hAnsi="Times New Roman" w:eastAsia="仿宋_GB2312" w:cs="Times New Roman"/>
          <w:b w:val="0"/>
          <w:color w:val="auto"/>
          <w:kern w:val="2"/>
          <w:sz w:val="24"/>
          <w:szCs w:val="24"/>
          <w:highlight w:val="none"/>
          <w:lang w:val="en-US" w:eastAsia="zh-CN"/>
        </w:rPr>
        <w:t>报告</w:t>
      </w:r>
      <w:r>
        <w:rPr>
          <w:rFonts w:hint="default" w:ascii="Times New Roman" w:hAnsi="Times New Roman" w:eastAsia="仿宋_GB2312" w:cs="Times New Roman"/>
          <w:b w:val="0"/>
          <w:color w:val="auto"/>
          <w:kern w:val="2"/>
          <w:sz w:val="24"/>
          <w:szCs w:val="24"/>
          <w:highlight w:val="none"/>
        </w:rPr>
        <w:t>的</w:t>
      </w:r>
      <w:r>
        <w:rPr>
          <w:rFonts w:hint="default" w:ascii="Times New Roman" w:hAnsi="Times New Roman" w:eastAsia="仿宋_GB2312" w:cs="Times New Roman"/>
          <w:b w:val="0"/>
          <w:color w:val="auto"/>
          <w:kern w:val="2"/>
          <w:sz w:val="24"/>
          <w:szCs w:val="24"/>
          <w:highlight w:val="none"/>
          <w:lang w:val="en-US" w:eastAsia="zh-CN"/>
        </w:rPr>
        <w:t>知识产权</w:t>
      </w:r>
      <w:r>
        <w:rPr>
          <w:rFonts w:hint="default" w:ascii="Times New Roman" w:hAnsi="Times New Roman" w:eastAsia="仿宋_GB2312" w:cs="Times New Roman"/>
          <w:b w:val="0"/>
          <w:color w:val="auto"/>
          <w:kern w:val="2"/>
          <w:sz w:val="24"/>
          <w:szCs w:val="24"/>
          <w:highlight w:val="none"/>
          <w:lang w:eastAsia="zh-CN"/>
        </w:rPr>
        <w:t>；</w:t>
      </w:r>
      <w:r>
        <w:rPr>
          <w:rFonts w:hint="default" w:ascii="Times New Roman" w:hAnsi="Times New Roman" w:eastAsia="仿宋_GB2312" w:cs="Times New Roman"/>
          <w:b w:val="0"/>
          <w:color w:val="auto"/>
          <w:kern w:val="2"/>
          <w:sz w:val="24"/>
          <w:szCs w:val="24"/>
          <w:highlight w:val="none"/>
        </w:rPr>
        <w:t>若甲方未支付该笔款项，技术</w:t>
      </w:r>
      <w:r>
        <w:rPr>
          <w:rFonts w:hint="default" w:ascii="Times New Roman" w:hAnsi="Times New Roman" w:eastAsia="仿宋_GB2312" w:cs="Times New Roman"/>
          <w:b w:val="0"/>
          <w:color w:val="auto"/>
          <w:kern w:val="2"/>
          <w:sz w:val="24"/>
          <w:szCs w:val="24"/>
          <w:highlight w:val="none"/>
          <w:lang w:val="en-US" w:eastAsia="zh-CN"/>
        </w:rPr>
        <w:t>报告</w:t>
      </w:r>
      <w:r>
        <w:rPr>
          <w:rFonts w:hint="default" w:ascii="Times New Roman" w:hAnsi="Times New Roman" w:eastAsia="仿宋_GB2312" w:cs="Times New Roman"/>
          <w:b w:val="0"/>
          <w:color w:val="auto"/>
          <w:kern w:val="2"/>
          <w:sz w:val="24"/>
          <w:szCs w:val="24"/>
          <w:highlight w:val="none"/>
        </w:rPr>
        <w:t>的</w:t>
      </w:r>
      <w:r>
        <w:rPr>
          <w:rFonts w:hint="default" w:ascii="Times New Roman" w:hAnsi="Times New Roman" w:eastAsia="仿宋_GB2312" w:cs="Times New Roman"/>
          <w:b w:val="0"/>
          <w:color w:val="auto"/>
          <w:kern w:val="2"/>
          <w:sz w:val="24"/>
          <w:szCs w:val="24"/>
          <w:highlight w:val="none"/>
          <w:lang w:val="en-US" w:eastAsia="zh-CN"/>
        </w:rPr>
        <w:t>知识产</w:t>
      </w:r>
      <w:r>
        <w:rPr>
          <w:rFonts w:hint="default" w:ascii="Times New Roman" w:hAnsi="Times New Roman" w:eastAsia="仿宋_GB2312" w:cs="Times New Roman"/>
          <w:b w:val="0"/>
          <w:color w:val="auto"/>
          <w:kern w:val="2"/>
          <w:sz w:val="24"/>
          <w:szCs w:val="24"/>
          <w:highlight w:val="none"/>
        </w:rPr>
        <w:t>权仍归属于乙方</w:t>
      </w:r>
      <w:r>
        <w:rPr>
          <w:rFonts w:hint="default" w:ascii="Times New Roman" w:hAnsi="Times New Roman" w:eastAsia="仿宋_GB2312" w:cs="Times New Roman"/>
          <w:b w:val="0"/>
          <w:color w:val="auto"/>
          <w:kern w:val="2"/>
          <w:sz w:val="24"/>
          <w:szCs w:val="24"/>
          <w:highlight w:val="none"/>
          <w:lang w:eastAsia="zh-CN"/>
        </w:rPr>
        <w:t>，</w:t>
      </w:r>
      <w:r>
        <w:rPr>
          <w:rFonts w:hint="default" w:ascii="Times New Roman" w:hAnsi="Times New Roman" w:eastAsia="仿宋_GB2312" w:cs="Times New Roman"/>
          <w:b w:val="0"/>
          <w:color w:val="auto"/>
          <w:kern w:val="2"/>
          <w:sz w:val="24"/>
          <w:szCs w:val="24"/>
          <w:highlight w:val="none"/>
        </w:rPr>
        <w:t>甲方不得向第三方泄露技术</w:t>
      </w:r>
      <w:r>
        <w:rPr>
          <w:rFonts w:hint="default" w:ascii="Times New Roman" w:hAnsi="Times New Roman" w:eastAsia="仿宋_GB2312" w:cs="Times New Roman"/>
          <w:b w:val="0"/>
          <w:color w:val="auto"/>
          <w:kern w:val="2"/>
          <w:sz w:val="24"/>
          <w:szCs w:val="24"/>
          <w:highlight w:val="none"/>
          <w:lang w:val="en-US" w:eastAsia="zh-CN"/>
        </w:rPr>
        <w:t>报告</w:t>
      </w:r>
      <w:r>
        <w:rPr>
          <w:rFonts w:hint="default" w:ascii="Times New Roman" w:hAnsi="Times New Roman" w:eastAsia="仿宋_GB2312" w:cs="Times New Roman"/>
          <w:b w:val="0"/>
          <w:color w:val="auto"/>
          <w:kern w:val="2"/>
          <w:sz w:val="24"/>
          <w:szCs w:val="24"/>
          <w:highlight w:val="none"/>
        </w:rPr>
        <w:t>内容</w:t>
      </w:r>
      <w:r>
        <w:rPr>
          <w:rFonts w:hint="default" w:ascii="Times New Roman" w:hAnsi="Times New Roman" w:eastAsia="仿宋_GB2312" w:cs="Times New Roman"/>
          <w:b w:val="0"/>
          <w:color w:val="auto"/>
          <w:kern w:val="2"/>
          <w:sz w:val="24"/>
          <w:szCs w:val="24"/>
          <w:highlight w:val="none"/>
          <w:lang w:val="en-US" w:eastAsia="zh-CN"/>
        </w:rPr>
        <w:t>或</w:t>
      </w:r>
      <w:r>
        <w:rPr>
          <w:rFonts w:hint="default" w:ascii="Times New Roman" w:hAnsi="Times New Roman" w:eastAsia="仿宋_GB2312" w:cs="Times New Roman"/>
          <w:b w:val="0"/>
          <w:color w:val="auto"/>
          <w:kern w:val="2"/>
          <w:sz w:val="24"/>
          <w:szCs w:val="24"/>
          <w:highlight w:val="none"/>
        </w:rPr>
        <w:t>将技术</w:t>
      </w:r>
      <w:r>
        <w:rPr>
          <w:rFonts w:hint="default" w:ascii="Times New Roman" w:hAnsi="Times New Roman" w:eastAsia="仿宋_GB2312" w:cs="Times New Roman"/>
          <w:b w:val="0"/>
          <w:color w:val="auto"/>
          <w:kern w:val="2"/>
          <w:sz w:val="24"/>
          <w:szCs w:val="24"/>
          <w:highlight w:val="none"/>
          <w:lang w:val="en-US" w:eastAsia="zh-CN"/>
        </w:rPr>
        <w:t>报告</w:t>
      </w:r>
      <w:r>
        <w:rPr>
          <w:rFonts w:hint="default" w:ascii="Times New Roman" w:hAnsi="Times New Roman" w:eastAsia="仿宋_GB2312" w:cs="Times New Roman"/>
          <w:b w:val="0"/>
          <w:color w:val="auto"/>
          <w:kern w:val="2"/>
          <w:sz w:val="24"/>
          <w:szCs w:val="24"/>
          <w:highlight w:val="none"/>
        </w:rPr>
        <w:t>应用于向第三方报送的文字材料中。</w:t>
      </w:r>
    </w:p>
    <w:p w14:paraId="6C43D040">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r>
        <w:rPr>
          <w:rFonts w:hint="default" w:ascii="Times New Roman" w:hAnsi="Times New Roman" w:eastAsia="仿宋_GB2312" w:cs="Times New Roman"/>
          <w:b/>
          <w:bCs/>
          <w:color w:val="auto"/>
          <w:kern w:val="2"/>
          <w:sz w:val="24"/>
          <w:szCs w:val="24"/>
          <w:highlight w:val="none"/>
          <w:lang w:val="en-US" w:eastAsia="zh-CN"/>
        </w:rPr>
        <w:t>6</w:t>
      </w:r>
      <w:r>
        <w:rPr>
          <w:rFonts w:hint="default" w:ascii="Times New Roman" w:hAnsi="Times New Roman" w:eastAsia="仿宋_GB2312" w:cs="Times New Roman"/>
          <w:b/>
          <w:bCs/>
          <w:color w:val="auto"/>
          <w:kern w:val="2"/>
          <w:sz w:val="24"/>
          <w:szCs w:val="24"/>
          <w:highlight w:val="none"/>
        </w:rPr>
        <w:t>.违约责任</w:t>
      </w:r>
      <w:bookmarkEnd w:id="83"/>
    </w:p>
    <w:p w14:paraId="0184D4E1">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 xml:space="preserve"> 若乙方未按照本合同2.1条约定的工作进度开展工作，甲方应以书面形式催告乙方限期整改。如乙方在收到催告通知后15个工作日内仍未纠正违约行为，甲方有权书面通知乙方终止合同。</w:t>
      </w:r>
    </w:p>
    <w:p w14:paraId="75251256">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6.2</w:t>
      </w:r>
      <w:r>
        <w:rPr>
          <w:rFonts w:hint="default" w:ascii="Times New Roman" w:hAnsi="Times New Roman" w:eastAsia="仿宋_GB2312" w:cs="Times New Roman"/>
          <w:color w:val="auto"/>
          <w:sz w:val="24"/>
          <w:szCs w:val="24"/>
          <w:highlight w:val="none"/>
          <w:lang w:eastAsia="zh-CN"/>
        </w:rPr>
        <w:t>如甲方未在约定时间支付前述</w:t>
      </w:r>
      <w:r>
        <w:rPr>
          <w:rFonts w:hint="default" w:ascii="Times New Roman" w:hAnsi="Times New Roman" w:eastAsia="仿宋_GB2312" w:cs="Times New Roman"/>
          <w:color w:val="auto"/>
          <w:sz w:val="24"/>
          <w:szCs w:val="24"/>
          <w:highlight w:val="none"/>
          <w:lang w:val="en-US" w:eastAsia="zh-CN"/>
        </w:rPr>
        <w:t>4</w:t>
      </w:r>
      <w:r>
        <w:rPr>
          <w:rFonts w:hint="default"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eastAsia="zh-CN"/>
        </w:rPr>
        <w:t>1</w:t>
      </w:r>
      <w:r>
        <w:rPr>
          <w:rFonts w:hint="default" w:ascii="Times New Roman" w:hAnsi="Times New Roman" w:eastAsia="仿宋_GB2312" w:cs="Times New Roman"/>
          <w:color w:val="auto"/>
          <w:sz w:val="24"/>
          <w:szCs w:val="24"/>
          <w:highlight w:val="none"/>
          <w:lang w:eastAsia="zh-CN"/>
        </w:rPr>
        <w:t>节支付条款中</w:t>
      </w:r>
      <w:r>
        <w:rPr>
          <w:rFonts w:hint="eastAsia" w:ascii="Times New Roman" w:hAnsi="Times New Roman" w:eastAsia="仿宋_GB2312" w:cs="Times New Roman"/>
          <w:color w:val="auto"/>
          <w:sz w:val="24"/>
          <w:szCs w:val="24"/>
          <w:highlight w:val="none"/>
          <w:lang w:eastAsia="zh-CN"/>
        </w:rPr>
        <w:t>所有</w:t>
      </w:r>
      <w:r>
        <w:rPr>
          <w:rFonts w:hint="default" w:ascii="Times New Roman" w:hAnsi="Times New Roman" w:eastAsia="仿宋_GB2312" w:cs="Times New Roman"/>
          <w:color w:val="auto"/>
          <w:sz w:val="24"/>
          <w:szCs w:val="24"/>
          <w:highlight w:val="none"/>
          <w:lang w:eastAsia="zh-CN"/>
        </w:rPr>
        <w:t>款</w:t>
      </w:r>
      <w:r>
        <w:rPr>
          <w:rFonts w:hint="eastAsia" w:ascii="Times New Roman" w:hAnsi="Times New Roman" w:eastAsia="仿宋_GB2312" w:cs="Times New Roman"/>
          <w:color w:val="auto"/>
          <w:sz w:val="24"/>
          <w:szCs w:val="24"/>
          <w:highlight w:val="none"/>
          <w:lang w:eastAsia="zh-CN"/>
        </w:rPr>
        <w:t>项</w:t>
      </w:r>
      <w:r>
        <w:rPr>
          <w:rFonts w:hint="default" w:ascii="Times New Roman" w:hAnsi="Times New Roman" w:eastAsia="仿宋_GB2312" w:cs="Times New Roman"/>
          <w:color w:val="auto"/>
          <w:sz w:val="24"/>
          <w:szCs w:val="24"/>
          <w:highlight w:val="none"/>
          <w:lang w:eastAsia="zh-CN"/>
        </w:rPr>
        <w:t>，乙方有权拒绝向评审单位提交报审版报告，</w:t>
      </w:r>
      <w:r>
        <w:rPr>
          <w:rFonts w:hint="default" w:ascii="Times New Roman" w:hAnsi="Times New Roman" w:eastAsia="仿宋_GB2312" w:cs="Times New Roman"/>
          <w:color w:val="auto"/>
          <w:sz w:val="24"/>
          <w:szCs w:val="24"/>
          <w:highlight w:val="none"/>
          <w:lang w:val="en-US" w:eastAsia="zh-CN"/>
        </w:rPr>
        <w:t>且无需承担任何因拒绝报审所产生的责任。</w:t>
      </w:r>
    </w:p>
    <w:p w14:paraId="54FBAD8A">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6</w:t>
      </w:r>
      <w:r>
        <w:rPr>
          <w:rFonts w:hint="default" w:ascii="Times New Roman" w:hAnsi="Times New Roman" w:eastAsia="仿宋_GB2312" w:cs="Times New Roman"/>
          <w:color w:val="auto"/>
          <w:sz w:val="24"/>
          <w:szCs w:val="24"/>
          <w:highlight w:val="none"/>
        </w:rPr>
        <w:t>.3若甲方逾期支付任何一期费用累计超过60日，乙方有权暂停履约，并要求甲方支付不低于合同总价款</w:t>
      </w:r>
      <w:r>
        <w:rPr>
          <w:rFonts w:hint="eastAsia"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0%的费用</w:t>
      </w:r>
      <w:r>
        <w:rPr>
          <w:rFonts w:hint="default" w:ascii="Times New Roman" w:hAnsi="Times New Roman" w:eastAsia="仿宋_GB2312" w:cs="Times New Roman"/>
          <w:color w:val="auto"/>
          <w:sz w:val="24"/>
          <w:szCs w:val="24"/>
          <w:highlight w:val="none"/>
          <w:lang w:val="en-US" w:eastAsia="zh-CN"/>
        </w:rPr>
        <w:t>。</w:t>
      </w:r>
    </w:p>
    <w:p w14:paraId="26A187BB">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84" w:name="_Toc7042"/>
      <w:r>
        <w:rPr>
          <w:rFonts w:hint="default" w:ascii="Times New Roman" w:hAnsi="Times New Roman" w:eastAsia="仿宋_GB2312" w:cs="Times New Roman"/>
          <w:b/>
          <w:bCs/>
          <w:color w:val="auto"/>
          <w:kern w:val="2"/>
          <w:sz w:val="24"/>
          <w:szCs w:val="24"/>
          <w:highlight w:val="none"/>
          <w:lang w:val="en-US" w:eastAsia="zh-CN"/>
        </w:rPr>
        <w:t>7</w:t>
      </w:r>
      <w:r>
        <w:rPr>
          <w:rFonts w:hint="default" w:ascii="Times New Roman" w:hAnsi="Times New Roman" w:eastAsia="仿宋_GB2312" w:cs="Times New Roman"/>
          <w:b/>
          <w:bCs/>
          <w:color w:val="auto"/>
          <w:kern w:val="2"/>
          <w:sz w:val="24"/>
          <w:szCs w:val="24"/>
          <w:highlight w:val="none"/>
        </w:rPr>
        <w:t>.不可抗力</w:t>
      </w:r>
      <w:bookmarkEnd w:id="84"/>
      <w:r>
        <w:rPr>
          <w:rFonts w:hint="default" w:ascii="Times New Roman" w:hAnsi="Times New Roman" w:eastAsia="仿宋_GB2312" w:cs="Times New Roman"/>
          <w:b/>
          <w:bCs/>
          <w:color w:val="auto"/>
          <w:kern w:val="2"/>
          <w:sz w:val="24"/>
          <w:szCs w:val="24"/>
          <w:highlight w:val="none"/>
        </w:rPr>
        <w:t xml:space="preserve"> </w:t>
      </w:r>
    </w:p>
    <w:p w14:paraId="46E0AD5B">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rPr>
        <w:t>.1 本合同中不可抗力是指不能预见、不能避免并不能克服的客观情况，包括但不限于自然灾害、战争、武装冲突、社会动乱、暴乱或按照本条的定义构成不可抗力的其他事件。</w:t>
      </w:r>
    </w:p>
    <w:p w14:paraId="73DDE976">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rPr>
        <w:t>.2 任何一方由于不可抗力而影响本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221BB46C">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rPr>
        <w:t>.3 受到不可抗力影响的一方应在不可抗力事件发生后2周内（含本数），取得有关部门关于发生不可抗力事件的证明文件，并以传真等书面形式提交另一方确认。否则，无权以不可抗力为由要求减轻或免除合同责任。</w:t>
      </w:r>
    </w:p>
    <w:p w14:paraId="523871C5">
      <w:pPr>
        <w:keepNext w:val="0"/>
        <w:keepLines w:val="0"/>
        <w:widowControl/>
        <w:numPr>
          <w:ilvl w:val="0"/>
          <w:numId w:val="0"/>
        </w:numPr>
        <w:suppressLineNumbers w:val="0"/>
        <w:pBdr>
          <w:left w:val="none" w:color="auto" w:sz="0" w:space="0"/>
        </w:pBdr>
        <w:shd w:val="clear" w:color="auto" w:fill="auto"/>
        <w:snapToGrid w:val="0"/>
        <w:spacing w:before="0" w:beforeLines="0" w:beforeAutospacing="0" w:after="0" w:afterLines="0" w:afterAutospacing="0" w:line="500" w:lineRule="exact"/>
        <w:ind w:left="0" w:firstLine="480" w:firstLineChars="20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7</w:t>
      </w:r>
      <w:r>
        <w:rPr>
          <w:rFonts w:hint="default" w:ascii="Times New Roman" w:hAnsi="Times New Roman" w:eastAsia="仿宋_GB2312" w:cs="Times New Roman"/>
          <w:color w:val="auto"/>
          <w:sz w:val="24"/>
          <w:szCs w:val="24"/>
          <w:highlight w:val="none"/>
        </w:rPr>
        <w:t>.4 如果不可抗力事件的影响已达120天或双方预计不可抗力事件的影响将延续120天以上（含本数）时，任何一方有权终止本合同。</w:t>
      </w:r>
      <w:r>
        <w:rPr>
          <w:rFonts w:hint="default" w:ascii="Times New Roman" w:hAnsi="Times New Roman" w:eastAsia="仿宋_GB2312" w:cs="Times New Roman"/>
          <w:i w:val="0"/>
          <w:iCs w:val="0"/>
          <w:caps w:val="0"/>
          <w:color w:val="auto"/>
          <w:spacing w:val="0"/>
          <w:kern w:val="2"/>
          <w:sz w:val="24"/>
          <w:szCs w:val="24"/>
          <w:highlight w:val="none"/>
          <w:shd w:val="clear" w:color="auto" w:fill="auto"/>
          <w:lang w:val="en-US" w:eastAsia="zh-CN" w:bidi="ar"/>
        </w:rPr>
        <w:t>合同终止后：</w:t>
      </w:r>
      <w:r>
        <w:rPr>
          <w:rFonts w:hint="default" w:ascii="Times New Roman" w:hAnsi="Times New Roman" w:eastAsia="仿宋_GB2312" w:cs="Times New Roman"/>
          <w:i w:val="0"/>
          <w:iCs w:val="0"/>
          <w:caps w:val="0"/>
          <w:color w:val="auto"/>
          <w:spacing w:val="0"/>
          <w:sz w:val="24"/>
          <w:szCs w:val="24"/>
          <w:highlight w:val="none"/>
          <w:shd w:val="clear" w:color="auto" w:fill="auto"/>
        </w:rPr>
        <w:t>已履行部分按实际结算</w:t>
      </w:r>
      <w:r>
        <w:rPr>
          <w:rFonts w:hint="default" w:ascii="Times New Roman" w:hAnsi="Times New Roman" w:eastAsia="仿宋_GB2312" w:cs="Times New Roman"/>
          <w:i w:val="0"/>
          <w:iCs w:val="0"/>
          <w:caps w:val="0"/>
          <w:color w:val="auto"/>
          <w:spacing w:val="0"/>
          <w:sz w:val="24"/>
          <w:szCs w:val="24"/>
          <w:highlight w:val="none"/>
          <w:shd w:val="clear" w:color="auto" w:fill="auto"/>
          <w:lang w:eastAsia="zh-CN"/>
        </w:rPr>
        <w:t>，</w:t>
      </w:r>
      <w:r>
        <w:rPr>
          <w:rFonts w:hint="default" w:ascii="Times New Roman" w:hAnsi="Times New Roman" w:eastAsia="仿宋_GB2312" w:cs="Times New Roman"/>
          <w:i w:val="0"/>
          <w:iCs w:val="0"/>
          <w:caps w:val="0"/>
          <w:color w:val="auto"/>
          <w:spacing w:val="0"/>
          <w:sz w:val="24"/>
          <w:szCs w:val="24"/>
          <w:highlight w:val="none"/>
          <w:shd w:val="clear" w:color="auto" w:fill="auto"/>
        </w:rPr>
        <w:t>未履行部分不再履行</w:t>
      </w:r>
      <w:r>
        <w:rPr>
          <w:rFonts w:hint="default" w:ascii="Times New Roman" w:hAnsi="Times New Roman" w:eastAsia="仿宋_GB2312" w:cs="Times New Roman"/>
          <w:i w:val="0"/>
          <w:iCs w:val="0"/>
          <w:caps w:val="0"/>
          <w:color w:val="auto"/>
          <w:spacing w:val="0"/>
          <w:sz w:val="24"/>
          <w:szCs w:val="24"/>
          <w:highlight w:val="none"/>
          <w:shd w:val="clear" w:color="auto" w:fill="auto"/>
          <w:lang w:eastAsia="zh-CN"/>
        </w:rPr>
        <w:t>，</w:t>
      </w:r>
      <w:r>
        <w:rPr>
          <w:rFonts w:hint="default" w:ascii="Times New Roman" w:hAnsi="Times New Roman" w:eastAsia="仿宋_GB2312" w:cs="Times New Roman"/>
          <w:i w:val="0"/>
          <w:iCs w:val="0"/>
          <w:caps w:val="0"/>
          <w:color w:val="auto"/>
          <w:spacing w:val="0"/>
          <w:sz w:val="24"/>
          <w:szCs w:val="24"/>
          <w:highlight w:val="none"/>
          <w:shd w:val="clear" w:color="auto" w:fill="auto"/>
        </w:rPr>
        <w:t>双方互不追究因不可抗力导致的合同终止责任，但法律另有规定除外。</w:t>
      </w:r>
    </w:p>
    <w:p w14:paraId="37A180B9">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vertAlign w:val="superscript"/>
        </w:rPr>
      </w:pPr>
      <w:bookmarkStart w:id="85" w:name="_Toc12380"/>
      <w:r>
        <w:rPr>
          <w:rFonts w:hint="default" w:ascii="Times New Roman" w:hAnsi="Times New Roman" w:eastAsia="仿宋_GB2312" w:cs="Times New Roman"/>
          <w:b/>
          <w:bCs/>
          <w:color w:val="auto"/>
          <w:kern w:val="2"/>
          <w:sz w:val="24"/>
          <w:szCs w:val="24"/>
          <w:highlight w:val="none"/>
          <w:lang w:val="en-US" w:eastAsia="zh-CN"/>
        </w:rPr>
        <w:t>8</w:t>
      </w:r>
      <w:r>
        <w:rPr>
          <w:rFonts w:hint="default" w:ascii="Times New Roman" w:hAnsi="Times New Roman" w:eastAsia="仿宋_GB2312" w:cs="Times New Roman"/>
          <w:b/>
          <w:bCs/>
          <w:color w:val="auto"/>
          <w:kern w:val="2"/>
          <w:sz w:val="24"/>
          <w:szCs w:val="24"/>
          <w:highlight w:val="none"/>
        </w:rPr>
        <w:t>.适用法律</w:t>
      </w:r>
      <w:bookmarkEnd w:id="85"/>
    </w:p>
    <w:p w14:paraId="30602C20">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本合同的订立、解释、履行及争议解决，均适用中华人民共和国法律。</w:t>
      </w:r>
    </w:p>
    <w:p w14:paraId="3CA6C2C4">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86" w:name="_Toc8653"/>
      <w:r>
        <w:rPr>
          <w:rFonts w:hint="default" w:ascii="Times New Roman" w:hAnsi="Times New Roman" w:eastAsia="仿宋_GB2312" w:cs="Times New Roman"/>
          <w:b/>
          <w:bCs/>
          <w:color w:val="auto"/>
          <w:kern w:val="2"/>
          <w:sz w:val="24"/>
          <w:szCs w:val="24"/>
          <w:highlight w:val="none"/>
          <w:lang w:eastAsia="zh-CN"/>
        </w:rPr>
        <w:t>9</w:t>
      </w:r>
      <w:r>
        <w:rPr>
          <w:rFonts w:hint="default" w:ascii="Times New Roman" w:hAnsi="Times New Roman" w:eastAsia="仿宋_GB2312" w:cs="Times New Roman"/>
          <w:b/>
          <w:bCs/>
          <w:color w:val="auto"/>
          <w:kern w:val="2"/>
          <w:sz w:val="24"/>
          <w:szCs w:val="24"/>
          <w:highlight w:val="none"/>
        </w:rPr>
        <w:t>.争议解决</w:t>
      </w:r>
      <w:bookmarkEnd w:id="86"/>
    </w:p>
    <w:p w14:paraId="6D964DE2">
      <w:pPr>
        <w:pStyle w:val="131"/>
        <w:spacing w:before="0" w:beforeLines="0" w:after="0" w:afterLines="0" w:line="500" w:lineRule="exact"/>
        <w:ind w:firstLine="56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.1 因合同及合同有关事项发生的争议，双方应本着诚实信用原则，通过友好协商解决。经协商仍无法达成一致的，按以下第</w:t>
      </w:r>
      <w:permStart w:id="0" w:edGrp="everyone"/>
      <w:r>
        <w:rPr>
          <w:rFonts w:hint="default" w:ascii="Times New Roman" w:hAnsi="Times New Roman" w:eastAsia="仿宋_GB2312" w:cs="Times New Roman"/>
          <w:color w:val="auto"/>
          <w:sz w:val="24"/>
          <w:szCs w:val="24"/>
          <w:highlight w:val="none"/>
          <w:u w:val="single"/>
        </w:rPr>
        <w:t xml:space="preserve"> 2 </w:t>
      </w:r>
      <w:permEnd w:id="0"/>
      <w:r>
        <w:rPr>
          <w:rFonts w:hint="default" w:ascii="Times New Roman" w:hAnsi="Times New Roman" w:eastAsia="仿宋_GB2312" w:cs="Times New Roman"/>
          <w:color w:val="auto"/>
          <w:sz w:val="24"/>
          <w:szCs w:val="24"/>
          <w:highlight w:val="none"/>
        </w:rPr>
        <w:t>种方式处理：</w:t>
      </w:r>
    </w:p>
    <w:p w14:paraId="768C06C2">
      <w:pPr>
        <w:pStyle w:val="131"/>
        <w:spacing w:before="0" w:beforeLines="0" w:after="0" w:afterLines="0" w:line="500" w:lineRule="exact"/>
        <w:ind w:firstLine="56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（1）仲裁：提交</w:t>
      </w:r>
      <w:permStart w:id="1" w:edGrp="everyone"/>
      <w:r>
        <w:rPr>
          <w:rFonts w:hint="default" w:ascii="Times New Roman" w:hAnsi="Times New Roman" w:eastAsia="仿宋_GB2312" w:cs="Times New Roman"/>
          <w:color w:val="auto"/>
          <w:sz w:val="24"/>
          <w:szCs w:val="24"/>
          <w:highlight w:val="none"/>
          <w:u w:val="single"/>
        </w:rPr>
        <w:t xml:space="preserve"> </w:t>
      </w:r>
      <w:r>
        <w:rPr>
          <w:rFonts w:hint="eastAsia" w:eastAsia="仿宋_GB2312" w:cs="Times New Roman"/>
          <w:color w:val="auto"/>
          <w:sz w:val="24"/>
          <w:szCs w:val="24"/>
          <w:highlight w:val="none"/>
          <w:u w:val="single"/>
          <w:lang w:val="en-US" w:eastAsia="zh-CN"/>
        </w:rPr>
        <w:t>铜陵市</w:t>
      </w:r>
      <w:r>
        <w:rPr>
          <w:rFonts w:hint="default" w:ascii="Times New Roman" w:hAnsi="Times New Roman" w:eastAsia="仿宋_GB2312" w:cs="Times New Roman"/>
          <w:color w:val="auto"/>
          <w:sz w:val="24"/>
          <w:szCs w:val="24"/>
          <w:highlight w:val="none"/>
          <w:u w:val="single"/>
        </w:rPr>
        <w:t xml:space="preserve">仲裁委员会 </w:t>
      </w:r>
      <w:permEnd w:id="1"/>
      <w:r>
        <w:rPr>
          <w:rFonts w:hint="default" w:ascii="Times New Roman" w:hAnsi="Times New Roman" w:eastAsia="仿宋_GB2312" w:cs="Times New Roman"/>
          <w:color w:val="auto"/>
          <w:sz w:val="24"/>
          <w:szCs w:val="24"/>
          <w:highlight w:val="none"/>
        </w:rPr>
        <w:t>仲裁，按照申请仲裁时该仲裁机构有效的仲裁规则进行仲裁。仲裁裁决是终局的，对双方均有约束力。</w:t>
      </w:r>
    </w:p>
    <w:p w14:paraId="7DD775AE">
      <w:pPr>
        <w:pStyle w:val="131"/>
        <w:spacing w:before="0" w:beforeLines="0" w:after="0" w:afterLines="0" w:line="500" w:lineRule="exact"/>
        <w:ind w:firstLine="56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（2）诉讼：向</w:t>
      </w:r>
      <w:permStart w:id="2" w:edGrp="everyone"/>
      <w:r>
        <w:rPr>
          <w:rFonts w:hint="default" w:ascii="Times New Roman" w:hAnsi="Times New Roman" w:eastAsia="仿宋_GB2312" w:cs="Times New Roman"/>
          <w:color w:val="auto"/>
          <w:sz w:val="24"/>
          <w:szCs w:val="24"/>
          <w:highlight w:val="none"/>
          <w:u w:val="single"/>
        </w:rPr>
        <w:t xml:space="preserve">  合同签订  </w:t>
      </w:r>
      <w:permEnd w:id="2"/>
      <w:r>
        <w:rPr>
          <w:rFonts w:hint="default" w:ascii="Times New Roman" w:hAnsi="Times New Roman" w:eastAsia="仿宋_GB2312" w:cs="Times New Roman"/>
          <w:color w:val="auto"/>
          <w:sz w:val="24"/>
          <w:szCs w:val="24"/>
          <w:highlight w:val="none"/>
        </w:rPr>
        <w:t>所在地人民法院提起诉讼。</w:t>
      </w:r>
    </w:p>
    <w:p w14:paraId="09339B00">
      <w:pPr>
        <w:snapToGrid w:val="0"/>
        <w:spacing w:before="0" w:beforeLines="0" w:after="0" w:afterLines="0" w:line="500" w:lineRule="exact"/>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.2 在争议解决期间，合同中未涉及争议部分的条款仍须履行。</w:t>
      </w:r>
    </w:p>
    <w:p w14:paraId="298B75DC">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87" w:name="_Toc13738"/>
      <w:r>
        <w:rPr>
          <w:rFonts w:hint="default" w:ascii="Times New Roman" w:hAnsi="Times New Roman" w:eastAsia="仿宋_GB2312" w:cs="Times New Roman"/>
          <w:b/>
          <w:bCs/>
          <w:color w:val="auto"/>
          <w:kern w:val="2"/>
          <w:sz w:val="24"/>
          <w:szCs w:val="24"/>
          <w:highlight w:val="none"/>
        </w:rPr>
        <w:t>1</w:t>
      </w:r>
      <w:r>
        <w:rPr>
          <w:rFonts w:hint="default" w:ascii="Times New Roman" w:hAnsi="Times New Roman" w:eastAsia="仿宋_GB2312" w:cs="Times New Roman"/>
          <w:b/>
          <w:bCs/>
          <w:color w:val="auto"/>
          <w:kern w:val="2"/>
          <w:sz w:val="24"/>
          <w:szCs w:val="24"/>
          <w:highlight w:val="none"/>
          <w:lang w:val="en-US" w:eastAsia="zh-CN"/>
        </w:rPr>
        <w:t>0</w:t>
      </w:r>
      <w:r>
        <w:rPr>
          <w:rFonts w:hint="default" w:ascii="Times New Roman" w:hAnsi="Times New Roman" w:eastAsia="仿宋_GB2312" w:cs="Times New Roman"/>
          <w:b/>
          <w:bCs/>
          <w:color w:val="auto"/>
          <w:kern w:val="2"/>
          <w:sz w:val="24"/>
          <w:szCs w:val="24"/>
          <w:highlight w:val="none"/>
        </w:rPr>
        <w:t>.合同生效</w:t>
      </w:r>
      <w:bookmarkEnd w:id="87"/>
      <w:r>
        <w:rPr>
          <w:rFonts w:hint="default" w:ascii="Times New Roman" w:hAnsi="Times New Roman" w:eastAsia="仿宋_GB2312" w:cs="Times New Roman"/>
          <w:b/>
          <w:bCs/>
          <w:color w:val="auto"/>
          <w:kern w:val="2"/>
          <w:sz w:val="24"/>
          <w:szCs w:val="24"/>
          <w:highlight w:val="none"/>
        </w:rPr>
        <w:t xml:space="preserve"> </w:t>
      </w:r>
    </w:p>
    <w:p w14:paraId="34031D9A">
      <w:pPr>
        <w:snapToGrid w:val="0"/>
        <w:spacing w:before="0" w:beforeLines="0" w:after="0" w:afterLines="0" w:line="500" w:lineRule="exact"/>
        <w:ind w:firstLine="480" w:firstLineChars="200"/>
        <w:rPr>
          <w:rFonts w:hint="default" w:ascii="Times New Roman" w:hAnsi="Times New Roman" w:eastAsia="仿宋_GB2312" w:cs="Times New Roman"/>
          <w:snapToGrid w:val="0"/>
          <w:color w:val="auto"/>
          <w:sz w:val="24"/>
          <w:szCs w:val="24"/>
          <w:highlight w:val="none"/>
        </w:rPr>
      </w:pPr>
      <w:r>
        <w:rPr>
          <w:rFonts w:hint="default" w:ascii="Times New Roman" w:hAnsi="Times New Roman" w:eastAsia="仿宋_GB2312" w:cs="Times New Roman"/>
          <w:color w:val="auto"/>
          <w:sz w:val="24"/>
          <w:szCs w:val="24"/>
          <w:highlight w:val="none"/>
        </w:rPr>
        <w:t>本合同自双方法定代表人（负责人）或其授权代表签署并加盖双方公章或合同专用章之日起生效。合同签订日期以双方中最后一方签署并加盖公章或合同专用章的日期为准。</w:t>
      </w:r>
      <w:bookmarkEnd w:id="78"/>
      <w:bookmarkEnd w:id="79"/>
      <w:bookmarkEnd w:id="80"/>
      <w:bookmarkEnd w:id="81"/>
      <w:bookmarkEnd w:id="82"/>
    </w:p>
    <w:p w14:paraId="2551E3D1">
      <w:pPr>
        <w:pStyle w:val="2"/>
        <w:snapToGrid w:val="0"/>
        <w:spacing w:before="0" w:beforeLines="0" w:after="0" w:afterLines="0" w:line="500" w:lineRule="exact"/>
        <w:ind w:firstLine="482" w:firstLineChars="200"/>
        <w:rPr>
          <w:rFonts w:hint="default" w:ascii="Times New Roman" w:hAnsi="Times New Roman" w:eastAsia="仿宋_GB2312" w:cs="Times New Roman"/>
          <w:b/>
          <w:bCs/>
          <w:color w:val="auto"/>
          <w:kern w:val="2"/>
          <w:sz w:val="24"/>
          <w:szCs w:val="24"/>
          <w:highlight w:val="none"/>
        </w:rPr>
      </w:pPr>
      <w:bookmarkStart w:id="88" w:name="_Toc24759_WPSOffice_Level1"/>
      <w:bookmarkStart w:id="89" w:name="_Toc370671942"/>
      <w:bookmarkStart w:id="90" w:name="_Toc1175041614"/>
      <w:bookmarkStart w:id="91" w:name="_Toc40941777"/>
      <w:r>
        <w:rPr>
          <w:rFonts w:hint="default" w:ascii="Times New Roman" w:hAnsi="Times New Roman" w:eastAsia="仿宋_GB2312" w:cs="Times New Roman"/>
          <w:b/>
          <w:bCs/>
          <w:color w:val="auto"/>
          <w:kern w:val="2"/>
          <w:sz w:val="24"/>
          <w:szCs w:val="24"/>
          <w:highlight w:val="none"/>
        </w:rPr>
        <w:t>1</w:t>
      </w:r>
      <w:r>
        <w:rPr>
          <w:rFonts w:hint="default" w:ascii="Times New Roman" w:hAnsi="Times New Roman" w:eastAsia="仿宋_GB2312" w:cs="Times New Roman"/>
          <w:b/>
          <w:bCs/>
          <w:color w:val="auto"/>
          <w:kern w:val="2"/>
          <w:sz w:val="24"/>
          <w:szCs w:val="24"/>
          <w:highlight w:val="none"/>
          <w:lang w:val="en-US" w:eastAsia="zh-CN"/>
        </w:rPr>
        <w:t>1</w:t>
      </w:r>
      <w:r>
        <w:rPr>
          <w:rFonts w:hint="default" w:ascii="Times New Roman" w:hAnsi="Times New Roman" w:eastAsia="仿宋_GB2312" w:cs="Times New Roman"/>
          <w:b/>
          <w:bCs/>
          <w:color w:val="auto"/>
          <w:kern w:val="2"/>
          <w:sz w:val="24"/>
          <w:szCs w:val="24"/>
          <w:highlight w:val="none"/>
        </w:rPr>
        <w:t>.份数</w:t>
      </w:r>
      <w:bookmarkEnd w:id="88"/>
      <w:bookmarkEnd w:id="89"/>
      <w:bookmarkEnd w:id="90"/>
      <w:bookmarkEnd w:id="91"/>
    </w:p>
    <w:p w14:paraId="3684CE3D">
      <w:pPr>
        <w:snapToGrid w:val="0"/>
        <w:spacing w:before="0" w:beforeLines="0" w:after="0" w:afterLines="0" w:line="500" w:lineRule="exact"/>
        <w:ind w:firstLine="0" w:firstLineChars="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本合同一式</w:t>
      </w:r>
      <w:r>
        <w:rPr>
          <w:rFonts w:hint="default" w:ascii="Times New Roman" w:hAnsi="Times New Roman" w:eastAsia="仿宋_GB2312" w:cs="Times New Roman"/>
          <w:color w:val="auto"/>
          <w:sz w:val="24"/>
          <w:szCs w:val="24"/>
          <w:highlight w:val="none"/>
          <w:u w:val="single"/>
        </w:rPr>
        <w:t xml:space="preserve"> 6 </w:t>
      </w:r>
      <w:r>
        <w:rPr>
          <w:rFonts w:hint="default" w:ascii="Times New Roman" w:hAnsi="Times New Roman" w:eastAsia="仿宋_GB2312" w:cs="Times New Roman"/>
          <w:color w:val="auto"/>
          <w:sz w:val="24"/>
          <w:szCs w:val="24"/>
          <w:highlight w:val="none"/>
        </w:rPr>
        <w:t>份，甲方执</w:t>
      </w:r>
      <w:r>
        <w:rPr>
          <w:rFonts w:hint="default" w:ascii="Times New Roman" w:hAnsi="Times New Roman" w:eastAsia="仿宋_GB2312" w:cs="Times New Roman"/>
          <w:color w:val="auto"/>
          <w:sz w:val="24"/>
          <w:szCs w:val="24"/>
          <w:highlight w:val="none"/>
          <w:u w:val="single"/>
        </w:rPr>
        <w:t xml:space="preserve"> 3 </w:t>
      </w:r>
      <w:r>
        <w:rPr>
          <w:rFonts w:hint="default" w:ascii="Times New Roman" w:hAnsi="Times New Roman" w:eastAsia="仿宋_GB2312" w:cs="Times New Roman"/>
          <w:color w:val="auto"/>
          <w:sz w:val="24"/>
          <w:szCs w:val="24"/>
          <w:highlight w:val="none"/>
        </w:rPr>
        <w:t>份，乙方执</w:t>
      </w:r>
      <w:r>
        <w:rPr>
          <w:rFonts w:hint="default" w:ascii="Times New Roman" w:hAnsi="Times New Roman" w:eastAsia="仿宋_GB2312" w:cs="Times New Roman"/>
          <w:color w:val="auto"/>
          <w:sz w:val="24"/>
          <w:szCs w:val="24"/>
          <w:highlight w:val="none"/>
          <w:u w:val="single"/>
        </w:rPr>
        <w:t xml:space="preserve"> 3 </w:t>
      </w:r>
      <w:r>
        <w:rPr>
          <w:rFonts w:hint="default" w:ascii="Times New Roman" w:hAnsi="Times New Roman" w:eastAsia="仿宋_GB2312" w:cs="Times New Roman"/>
          <w:color w:val="auto"/>
          <w:sz w:val="24"/>
          <w:szCs w:val="24"/>
          <w:highlight w:val="none"/>
        </w:rPr>
        <w:t>份，具有同等法律效力。</w:t>
      </w:r>
    </w:p>
    <w:p w14:paraId="19E436CF">
      <w:pPr>
        <w:widowControl/>
        <w:spacing w:before="0" w:beforeLines="0" w:after="0" w:afterLines="0" w:line="500" w:lineRule="exact"/>
        <w:jc w:val="center"/>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（以下无正文，为合同签署页）</w:t>
      </w:r>
    </w:p>
    <w:p w14:paraId="0E44F93E">
      <w:pPr>
        <w:widowControl/>
        <w:wordWrap w:val="0"/>
        <w:spacing w:beforeLines="0" w:afterLines="0" w:line="500" w:lineRule="exact"/>
        <w:jc w:val="center"/>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b/>
          <w:color w:val="auto"/>
          <w:sz w:val="24"/>
          <w:szCs w:val="24"/>
          <w:highlight w:val="none"/>
        </w:rPr>
        <w:br w:type="page"/>
      </w:r>
      <w:bookmarkStart w:id="92" w:name="_Toc12355_WPSOffice_Level1"/>
      <w:r>
        <w:rPr>
          <w:rFonts w:hint="default" w:ascii="Times New Roman" w:hAnsi="Times New Roman" w:eastAsia="仿宋_GB2312" w:cs="Times New Roman"/>
          <w:b/>
          <w:color w:val="auto"/>
          <w:sz w:val="24"/>
          <w:szCs w:val="24"/>
          <w:highlight w:val="none"/>
        </w:rPr>
        <w:t>签  署  页</w:t>
      </w:r>
      <w:bookmarkEnd w:id="92"/>
    </w:p>
    <w:p w14:paraId="71BEC03A">
      <w:pPr>
        <w:widowControl/>
        <w:wordWrap w:val="0"/>
        <w:spacing w:beforeLines="0" w:afterLines="0" w:line="500" w:lineRule="exact"/>
        <w:ind w:firstLine="480" w:firstLineChars="200"/>
        <w:rPr>
          <w:rFonts w:hint="default" w:ascii="Times New Roman" w:hAnsi="Times New Roman" w:eastAsia="仿宋_GB2312" w:cs="Times New Roman"/>
          <w:snapToGrid w:val="0"/>
          <w:color w:val="auto"/>
          <w:kern w:val="0"/>
          <w:sz w:val="24"/>
          <w:szCs w:val="24"/>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8"/>
        <w:gridCol w:w="4146"/>
      </w:tblGrid>
      <w:tr w14:paraId="1209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24EDDA64">
            <w:pPr>
              <w:wordWrap w:val="0"/>
              <w:autoSpaceDE w:val="0"/>
              <w:autoSpaceDN w:val="0"/>
              <w:adjustRightInd w:val="0"/>
              <w:snapToGrid w:val="0"/>
              <w:spacing w:beforeLines="0" w:afterLines="0" w:line="500" w:lineRule="exact"/>
              <w:ind w:left="840" w:right="-17" w:hanging="720" w:hangingChars="300"/>
              <w:jc w:val="left"/>
              <w:textAlignment w:val="baseline"/>
              <w:rPr>
                <w:rFonts w:hint="default" w:ascii="Times New Roman" w:hAnsi="Times New Roman" w:eastAsia="仿宋_GB2312" w:cs="Times New Roman"/>
                <w:snapToGrid w:val="0"/>
                <w:color w:val="auto"/>
                <w:kern w:val="0"/>
                <w:sz w:val="24"/>
                <w:szCs w:val="24"/>
                <w:highlight w:val="none"/>
                <w:lang w:eastAsia="zh-CN"/>
              </w:rPr>
            </w:pPr>
            <w:r>
              <w:rPr>
                <w:rFonts w:hint="default" w:ascii="Times New Roman" w:hAnsi="Times New Roman" w:eastAsia="仿宋_GB2312" w:cs="Times New Roman"/>
                <w:snapToGrid w:val="0"/>
                <w:color w:val="auto"/>
                <w:kern w:val="0"/>
                <w:sz w:val="24"/>
                <w:szCs w:val="24"/>
                <w:highlight w:val="none"/>
              </w:rPr>
              <w:t>甲方：</w:t>
            </w:r>
          </w:p>
          <w:p w14:paraId="17FE8B56">
            <w:pPr>
              <w:wordWrap w:val="0"/>
              <w:autoSpaceDE w:val="0"/>
              <w:autoSpaceDN w:val="0"/>
              <w:adjustRightInd w:val="0"/>
              <w:snapToGrid w:val="0"/>
              <w:spacing w:beforeLines="0" w:afterLines="0" w:line="500" w:lineRule="exact"/>
              <w:ind w:left="840" w:right="-17" w:hanging="720" w:hangingChars="300"/>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（盖章）</w:t>
            </w:r>
          </w:p>
          <w:p w14:paraId="7EDE38F8">
            <w:pPr>
              <w:wordWrap w:val="0"/>
              <w:autoSpaceDE w:val="0"/>
              <w:autoSpaceDN w:val="0"/>
              <w:adjustRightInd w:val="0"/>
              <w:snapToGrid w:val="0"/>
              <w:spacing w:beforeLines="0" w:afterLines="0" w:line="500" w:lineRule="exact"/>
              <w:ind w:left="840" w:right="-17" w:hanging="720" w:hangingChars="300"/>
              <w:jc w:val="left"/>
              <w:textAlignment w:val="baseline"/>
              <w:rPr>
                <w:rFonts w:hint="default" w:ascii="Times New Roman" w:hAnsi="Times New Roman" w:eastAsia="仿宋_GB2312" w:cs="Times New Roman"/>
                <w:snapToGrid w:val="0"/>
                <w:color w:val="auto"/>
                <w:kern w:val="0"/>
                <w:sz w:val="24"/>
                <w:szCs w:val="24"/>
                <w:highlight w:val="none"/>
              </w:rPr>
            </w:pPr>
          </w:p>
        </w:tc>
        <w:tc>
          <w:tcPr>
            <w:tcW w:w="4146" w:type="dxa"/>
            <w:noWrap w:val="0"/>
            <w:vAlign w:val="center"/>
          </w:tcPr>
          <w:p w14:paraId="2C81E5D3">
            <w:pPr>
              <w:wordWrap w:val="0"/>
              <w:autoSpaceDE w:val="0"/>
              <w:autoSpaceDN w:val="0"/>
              <w:adjustRightInd w:val="0"/>
              <w:snapToGrid w:val="0"/>
              <w:spacing w:beforeLines="0" w:afterLines="0" w:line="500" w:lineRule="exact"/>
              <w:ind w:left="0" w:right="-17" w:firstLine="0" w:firstLineChars="0"/>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 xml:space="preserve">乙方： </w:t>
            </w:r>
          </w:p>
          <w:p w14:paraId="51FCCD26">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（盖章）</w:t>
            </w:r>
          </w:p>
        </w:tc>
      </w:tr>
      <w:tr w14:paraId="693A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31CCF176">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法定代表人(负责人)或</w:t>
            </w:r>
          </w:p>
          <w:p w14:paraId="2F94D160">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授权代表（签字）：</w:t>
            </w:r>
          </w:p>
        </w:tc>
        <w:tc>
          <w:tcPr>
            <w:tcW w:w="4146" w:type="dxa"/>
            <w:noWrap w:val="0"/>
            <w:vAlign w:val="center"/>
          </w:tcPr>
          <w:p w14:paraId="6806359B">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法定代表人（负责人）或</w:t>
            </w:r>
          </w:p>
          <w:p w14:paraId="00DC7397">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授权代表（签字）：</w:t>
            </w:r>
          </w:p>
        </w:tc>
      </w:tr>
      <w:tr w14:paraId="42FD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41EFC08A">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签订日期：</w:t>
            </w:r>
          </w:p>
        </w:tc>
        <w:tc>
          <w:tcPr>
            <w:tcW w:w="4146" w:type="dxa"/>
            <w:noWrap w:val="0"/>
            <w:vAlign w:val="center"/>
          </w:tcPr>
          <w:p w14:paraId="24A5D6AF">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签订日期：</w:t>
            </w:r>
          </w:p>
        </w:tc>
      </w:tr>
      <w:tr w14:paraId="1737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5FB4592C">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地址：</w:t>
            </w:r>
          </w:p>
        </w:tc>
        <w:tc>
          <w:tcPr>
            <w:tcW w:w="4146" w:type="dxa"/>
            <w:noWrap w:val="0"/>
            <w:vAlign w:val="center"/>
          </w:tcPr>
          <w:p w14:paraId="2E19F39C">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地址：</w:t>
            </w:r>
          </w:p>
        </w:tc>
      </w:tr>
      <w:tr w14:paraId="2A44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4DD4C684">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 xml:space="preserve">联系人： </w:t>
            </w:r>
          </w:p>
        </w:tc>
        <w:tc>
          <w:tcPr>
            <w:tcW w:w="4146" w:type="dxa"/>
            <w:noWrap w:val="0"/>
            <w:vAlign w:val="center"/>
          </w:tcPr>
          <w:p w14:paraId="766B675E">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lang w:eastAsia="zh-CN"/>
              </w:rPr>
            </w:pPr>
            <w:r>
              <w:rPr>
                <w:rFonts w:hint="default" w:ascii="Times New Roman" w:hAnsi="Times New Roman" w:eastAsia="仿宋_GB2312" w:cs="Times New Roman"/>
                <w:snapToGrid w:val="0"/>
                <w:color w:val="auto"/>
                <w:kern w:val="0"/>
                <w:sz w:val="24"/>
                <w:szCs w:val="24"/>
                <w:highlight w:val="none"/>
              </w:rPr>
              <w:t>联系人：</w:t>
            </w:r>
          </w:p>
        </w:tc>
      </w:tr>
      <w:tr w14:paraId="382B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44EDBBDC">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 xml:space="preserve">电话： </w:t>
            </w:r>
          </w:p>
        </w:tc>
        <w:tc>
          <w:tcPr>
            <w:tcW w:w="4146" w:type="dxa"/>
            <w:noWrap w:val="0"/>
            <w:vAlign w:val="center"/>
          </w:tcPr>
          <w:p w14:paraId="09CD2079">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lang w:val="en-US" w:eastAsia="zh-CN"/>
              </w:rPr>
            </w:pPr>
            <w:r>
              <w:rPr>
                <w:rFonts w:hint="default" w:ascii="Times New Roman" w:hAnsi="Times New Roman" w:eastAsia="仿宋_GB2312" w:cs="Times New Roman"/>
                <w:snapToGrid w:val="0"/>
                <w:color w:val="auto"/>
                <w:kern w:val="0"/>
                <w:sz w:val="24"/>
                <w:szCs w:val="24"/>
                <w:highlight w:val="none"/>
              </w:rPr>
              <w:t>电话：</w:t>
            </w:r>
          </w:p>
        </w:tc>
      </w:tr>
      <w:tr w14:paraId="412E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2A003834">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Email：</w:t>
            </w:r>
          </w:p>
        </w:tc>
        <w:tc>
          <w:tcPr>
            <w:tcW w:w="4146" w:type="dxa"/>
            <w:noWrap w:val="0"/>
            <w:vAlign w:val="center"/>
          </w:tcPr>
          <w:p w14:paraId="5C10B288">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Email：</w:t>
            </w:r>
          </w:p>
        </w:tc>
      </w:tr>
      <w:tr w14:paraId="6E25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486E283B">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开户银行：</w:t>
            </w:r>
          </w:p>
        </w:tc>
        <w:tc>
          <w:tcPr>
            <w:tcW w:w="4146" w:type="dxa"/>
            <w:noWrap w:val="0"/>
            <w:vAlign w:val="center"/>
          </w:tcPr>
          <w:p w14:paraId="1CE94376">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开户银行：</w:t>
            </w:r>
          </w:p>
        </w:tc>
      </w:tr>
      <w:tr w14:paraId="74F7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center"/>
          </w:tcPr>
          <w:p w14:paraId="4FC303A5">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账号：</w:t>
            </w:r>
          </w:p>
        </w:tc>
        <w:tc>
          <w:tcPr>
            <w:tcW w:w="4146" w:type="dxa"/>
            <w:noWrap w:val="0"/>
            <w:vAlign w:val="center"/>
          </w:tcPr>
          <w:p w14:paraId="2D5F3E32">
            <w:pPr>
              <w:wordWrap w:val="0"/>
              <w:autoSpaceDE w:val="0"/>
              <w:autoSpaceDN w:val="0"/>
              <w:adjustRightInd w:val="0"/>
              <w:snapToGrid w:val="0"/>
              <w:spacing w:beforeLines="0" w:afterLines="0" w:line="500" w:lineRule="exact"/>
              <w:ind w:right="-17"/>
              <w:jc w:val="left"/>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账号：</w:t>
            </w:r>
          </w:p>
        </w:tc>
      </w:tr>
      <w:tr w14:paraId="7D32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top"/>
          </w:tcPr>
          <w:p w14:paraId="4375A497">
            <w:pPr>
              <w:wordWrap w:val="0"/>
              <w:autoSpaceDE w:val="0"/>
              <w:autoSpaceDN w:val="0"/>
              <w:adjustRightInd w:val="0"/>
              <w:snapToGrid w:val="0"/>
              <w:spacing w:beforeLines="0" w:afterLines="0" w:line="500" w:lineRule="exact"/>
              <w:ind w:right="-17"/>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color w:val="auto"/>
                <w:sz w:val="24"/>
                <w:szCs w:val="24"/>
                <w:highlight w:val="none"/>
              </w:rPr>
              <w:t>统一社会信用代码</w:t>
            </w:r>
            <w:r>
              <w:rPr>
                <w:rFonts w:hint="default" w:ascii="Times New Roman" w:hAnsi="Times New Roman" w:eastAsia="仿宋_GB2312" w:cs="Times New Roman"/>
                <w:snapToGrid w:val="0"/>
                <w:color w:val="auto"/>
                <w:kern w:val="0"/>
                <w:sz w:val="24"/>
                <w:szCs w:val="24"/>
                <w:highlight w:val="none"/>
              </w:rPr>
              <w:t>：</w:t>
            </w:r>
          </w:p>
        </w:tc>
        <w:tc>
          <w:tcPr>
            <w:tcW w:w="4146" w:type="dxa"/>
            <w:noWrap w:val="0"/>
            <w:vAlign w:val="top"/>
          </w:tcPr>
          <w:p w14:paraId="060153C9">
            <w:pPr>
              <w:wordWrap w:val="0"/>
              <w:autoSpaceDE w:val="0"/>
              <w:autoSpaceDN w:val="0"/>
              <w:adjustRightInd w:val="0"/>
              <w:snapToGrid w:val="0"/>
              <w:spacing w:beforeLines="0" w:afterLines="0" w:line="500" w:lineRule="exact"/>
              <w:ind w:right="-17"/>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color w:val="auto"/>
                <w:sz w:val="24"/>
                <w:szCs w:val="24"/>
                <w:highlight w:val="none"/>
              </w:rPr>
              <w:t>统一社会信用代码</w:t>
            </w:r>
            <w:r>
              <w:rPr>
                <w:rFonts w:hint="default" w:ascii="Times New Roman" w:hAnsi="Times New Roman" w:eastAsia="仿宋_GB2312" w:cs="Times New Roman"/>
                <w:snapToGrid w:val="0"/>
                <w:color w:val="auto"/>
                <w:kern w:val="0"/>
                <w:sz w:val="24"/>
                <w:szCs w:val="24"/>
                <w:highlight w:val="none"/>
              </w:rPr>
              <w:t>：</w:t>
            </w:r>
          </w:p>
        </w:tc>
      </w:tr>
      <w:tr w14:paraId="7F58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78" w:type="dxa"/>
            <w:noWrap w:val="0"/>
            <w:vAlign w:val="top"/>
          </w:tcPr>
          <w:p w14:paraId="3C515636">
            <w:pPr>
              <w:wordWrap w:val="0"/>
              <w:autoSpaceDE w:val="0"/>
              <w:autoSpaceDN w:val="0"/>
              <w:adjustRightInd w:val="0"/>
              <w:snapToGrid w:val="0"/>
              <w:spacing w:beforeLines="0" w:afterLines="0" w:line="500" w:lineRule="exact"/>
              <w:ind w:right="-17"/>
              <w:textAlignment w:val="baseline"/>
              <w:rPr>
                <w:rFonts w:hint="default" w:ascii="Times New Roman" w:hAnsi="Times New Roman" w:eastAsia="仿宋_GB2312" w:cs="Times New Roman"/>
                <w:snapToGrid w:val="0"/>
                <w:color w:val="auto"/>
                <w:kern w:val="0"/>
                <w:sz w:val="24"/>
                <w:szCs w:val="24"/>
                <w:highlight w:val="none"/>
              </w:rPr>
            </w:pPr>
            <w:r>
              <w:rPr>
                <w:rFonts w:hint="default" w:ascii="Times New Roman" w:hAnsi="Times New Roman" w:eastAsia="仿宋_GB2312" w:cs="Times New Roman"/>
                <w:snapToGrid w:val="0"/>
                <w:color w:val="auto"/>
                <w:kern w:val="0"/>
                <w:sz w:val="24"/>
                <w:szCs w:val="24"/>
                <w:highlight w:val="none"/>
              </w:rPr>
              <w:t>送达地址：</w:t>
            </w:r>
          </w:p>
        </w:tc>
        <w:tc>
          <w:tcPr>
            <w:tcW w:w="4146" w:type="dxa"/>
            <w:noWrap w:val="0"/>
            <w:vAlign w:val="top"/>
          </w:tcPr>
          <w:p w14:paraId="7EE176FC">
            <w:pPr>
              <w:wordWrap w:val="0"/>
              <w:autoSpaceDE w:val="0"/>
              <w:autoSpaceDN w:val="0"/>
              <w:adjustRightInd w:val="0"/>
              <w:snapToGrid w:val="0"/>
              <w:spacing w:beforeLines="0" w:afterLines="0" w:line="500" w:lineRule="exact"/>
              <w:ind w:right="-17"/>
              <w:textAlignment w:val="baseline"/>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送达地址：</w:t>
            </w:r>
          </w:p>
        </w:tc>
      </w:tr>
    </w:tbl>
    <w:p w14:paraId="5B668E6C">
      <w:pPr>
        <w:pStyle w:val="21"/>
        <w:spacing w:beforeLines="0" w:afterLines="0" w:line="500" w:lineRule="exact"/>
        <w:ind w:left="0" w:leftChars="0"/>
        <w:rPr>
          <w:rFonts w:hint="default" w:ascii="Times New Roman" w:hAnsi="Times New Roman" w:eastAsia="仿宋_GB2312" w:cs="Times New Roman"/>
          <w:color w:val="auto"/>
          <w:sz w:val="24"/>
          <w:szCs w:val="24"/>
          <w:highlight w:val="none"/>
        </w:rPr>
      </w:pPr>
    </w:p>
    <w:p w14:paraId="0AA67B4E">
      <w:pPr>
        <w:spacing w:beforeLines="0" w:afterLines="0" w:line="500" w:lineRule="exact"/>
        <w:rPr>
          <w:rFonts w:hint="default" w:ascii="Times New Roman" w:hAnsi="Times New Roman" w:eastAsia="仿宋_GB2312" w:cs="Times New Roman"/>
          <w:color w:val="auto"/>
          <w:sz w:val="24"/>
          <w:szCs w:val="24"/>
          <w:highlight w:val="none"/>
        </w:rPr>
      </w:pPr>
    </w:p>
    <w:p w14:paraId="3344B03D">
      <w:pPr>
        <w:rPr>
          <w:rFonts w:hint="eastAsia" w:ascii="仿宋" w:hAnsi="仿宋" w:eastAsia="仿宋" w:cs="仿宋"/>
          <w:b/>
          <w:color w:val="auto"/>
          <w:sz w:val="24"/>
          <w:szCs w:val="24"/>
          <w:highlight w:val="none"/>
        </w:rPr>
      </w:pPr>
    </w:p>
    <w:p w14:paraId="16BE5719">
      <w:pPr>
        <w:rPr>
          <w:rFonts w:hint="eastAsia" w:ascii="仿宋" w:hAnsi="仿宋" w:eastAsia="仿宋" w:cs="仿宋"/>
          <w:b/>
          <w:color w:val="auto"/>
          <w:sz w:val="24"/>
          <w:szCs w:val="24"/>
          <w:highlight w:val="none"/>
        </w:rPr>
      </w:pPr>
    </w:p>
    <w:p w14:paraId="1FEF31A6">
      <w:pPr>
        <w:rPr>
          <w:rFonts w:hint="eastAsia" w:ascii="仿宋" w:hAnsi="仿宋" w:eastAsia="仿宋" w:cs="仿宋"/>
          <w:b/>
          <w:color w:val="auto"/>
          <w:sz w:val="24"/>
          <w:szCs w:val="24"/>
          <w:highlight w:val="none"/>
        </w:rPr>
      </w:pPr>
    </w:p>
    <w:p w14:paraId="51998AEA">
      <w:pPr>
        <w:rPr>
          <w:rFonts w:hint="eastAsia" w:ascii="仿宋" w:hAnsi="仿宋" w:eastAsia="仿宋" w:cs="仿宋"/>
          <w:b/>
          <w:color w:val="auto"/>
          <w:sz w:val="24"/>
          <w:szCs w:val="24"/>
          <w:highlight w:val="none"/>
        </w:rPr>
      </w:pPr>
    </w:p>
    <w:p w14:paraId="7B049E2E">
      <w:pPr>
        <w:rPr>
          <w:rFonts w:hint="eastAsia" w:ascii="仿宋" w:hAnsi="仿宋" w:eastAsia="仿宋" w:cs="仿宋"/>
          <w:b/>
          <w:color w:val="auto"/>
          <w:sz w:val="24"/>
          <w:szCs w:val="24"/>
          <w:highlight w:val="none"/>
        </w:rPr>
      </w:pPr>
    </w:p>
    <w:p w14:paraId="4BAD4EA0">
      <w:pPr>
        <w:rPr>
          <w:rFonts w:hint="eastAsia" w:ascii="仿宋" w:hAnsi="仿宋" w:eastAsia="仿宋" w:cs="仿宋"/>
          <w:b/>
          <w:color w:val="auto"/>
          <w:sz w:val="24"/>
          <w:szCs w:val="24"/>
          <w:highlight w:val="none"/>
        </w:rPr>
      </w:pPr>
    </w:p>
    <w:p w14:paraId="67E950EA">
      <w:pPr>
        <w:rPr>
          <w:rFonts w:hint="eastAsia" w:ascii="仿宋" w:hAnsi="仿宋" w:eastAsia="仿宋" w:cs="仿宋"/>
          <w:b/>
          <w:color w:val="auto"/>
          <w:sz w:val="24"/>
          <w:szCs w:val="24"/>
          <w:highlight w:val="none"/>
        </w:rPr>
      </w:pPr>
    </w:p>
    <w:p w14:paraId="15E01D5D">
      <w:pPr>
        <w:rPr>
          <w:rFonts w:hint="eastAsia" w:ascii="仿宋" w:hAnsi="仿宋" w:eastAsia="仿宋" w:cs="仿宋"/>
          <w:b/>
          <w:color w:val="auto"/>
          <w:sz w:val="24"/>
          <w:szCs w:val="24"/>
          <w:highlight w:val="none"/>
        </w:rPr>
      </w:pPr>
    </w:p>
    <w:p w14:paraId="7C70A868">
      <w:pPr>
        <w:rPr>
          <w:rFonts w:hint="eastAsia" w:ascii="仿宋" w:hAnsi="仿宋" w:eastAsia="仿宋" w:cs="仿宋"/>
          <w:b/>
          <w:color w:val="auto"/>
          <w:sz w:val="24"/>
          <w:szCs w:val="24"/>
          <w:highlight w:val="none"/>
        </w:rPr>
      </w:pPr>
    </w:p>
    <w:p w14:paraId="1A64AE59">
      <w:pPr>
        <w:rPr>
          <w:rFonts w:hint="eastAsia" w:ascii="仿宋" w:hAnsi="仿宋" w:eastAsia="仿宋" w:cs="仿宋"/>
          <w:b/>
          <w:color w:val="auto"/>
          <w:sz w:val="24"/>
          <w:szCs w:val="24"/>
          <w:highlight w:val="none"/>
        </w:rPr>
      </w:pPr>
    </w:p>
    <w:p w14:paraId="0556B931">
      <w:pPr>
        <w:pStyle w:val="13"/>
        <w:rPr>
          <w:rFonts w:hint="eastAsia" w:ascii="仿宋" w:hAnsi="仿宋" w:eastAsia="仿宋" w:cs="仿宋"/>
          <w:b/>
          <w:color w:val="auto"/>
          <w:sz w:val="24"/>
          <w:szCs w:val="24"/>
          <w:highlight w:val="none"/>
        </w:rPr>
      </w:pPr>
    </w:p>
    <w:p w14:paraId="0C5303A1">
      <w:pPr>
        <w:pStyle w:val="13"/>
        <w:rPr>
          <w:rFonts w:hint="eastAsia" w:ascii="仿宋" w:hAnsi="仿宋" w:eastAsia="仿宋" w:cs="仿宋"/>
          <w:b/>
          <w:color w:val="auto"/>
          <w:sz w:val="24"/>
          <w:szCs w:val="24"/>
          <w:highlight w:val="none"/>
        </w:rPr>
      </w:pPr>
    </w:p>
    <w:p w14:paraId="2C1B79E2">
      <w:pPr>
        <w:rPr>
          <w:rFonts w:hint="eastAsia" w:ascii="仿宋" w:hAnsi="仿宋" w:eastAsia="仿宋" w:cs="仿宋"/>
          <w:b/>
          <w:color w:val="auto"/>
          <w:sz w:val="24"/>
          <w:szCs w:val="24"/>
          <w:highlight w:val="none"/>
        </w:rPr>
      </w:pPr>
    </w:p>
    <w:p w14:paraId="5315CC24">
      <w:pPr>
        <w:rPr>
          <w:rFonts w:hint="eastAsia" w:ascii="仿宋" w:hAnsi="仿宋" w:eastAsia="仿宋" w:cs="仿宋"/>
          <w:b/>
          <w:color w:val="auto"/>
          <w:sz w:val="30"/>
          <w:szCs w:val="30"/>
          <w:highlight w:val="none"/>
        </w:rPr>
      </w:pPr>
    </w:p>
    <w:p w14:paraId="634DF03B">
      <w:pPr>
        <w:spacing w:before="47" w:line="219" w:lineRule="auto"/>
        <w:ind w:left="20"/>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附件</w:t>
      </w:r>
      <w:r>
        <w:rPr>
          <w:rFonts w:ascii="宋体" w:hAnsi="宋体" w:eastAsia="宋体" w:cs="宋体"/>
          <w:color w:val="auto"/>
          <w:spacing w:val="-27"/>
          <w:sz w:val="24"/>
          <w:szCs w:val="24"/>
          <w:highlight w:val="none"/>
        </w:rPr>
        <w:t xml:space="preserve"> </w:t>
      </w:r>
      <w:r>
        <w:rPr>
          <w:rFonts w:ascii="宋体" w:hAnsi="宋体" w:eastAsia="宋体" w:cs="宋体"/>
          <w:color w:val="auto"/>
          <w:spacing w:val="-9"/>
          <w:sz w:val="24"/>
          <w:szCs w:val="24"/>
          <w:highlight w:val="none"/>
        </w:rPr>
        <w:t>1：廉政协议</w:t>
      </w:r>
    </w:p>
    <w:p w14:paraId="2C8BF97A">
      <w:pPr>
        <w:spacing w:before="41" w:line="225" w:lineRule="auto"/>
        <w:ind w:left="3978"/>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廉</w:t>
      </w:r>
      <w:r>
        <w:rPr>
          <w:rFonts w:ascii="宋体" w:hAnsi="宋体" w:eastAsia="宋体" w:cs="宋体"/>
          <w:color w:val="auto"/>
          <w:spacing w:val="24"/>
          <w:sz w:val="31"/>
          <w:szCs w:val="31"/>
          <w:highlight w:val="none"/>
        </w:rPr>
        <w:t xml:space="preserve"> </w:t>
      </w:r>
      <w:r>
        <w:rPr>
          <w:rFonts w:ascii="宋体" w:hAnsi="宋体" w:eastAsia="宋体" w:cs="宋体"/>
          <w:color w:val="auto"/>
          <w:spacing w:val="-3"/>
          <w:sz w:val="31"/>
          <w:szCs w:val="31"/>
          <w:highlight w:val="none"/>
        </w:rPr>
        <w:t>政</w:t>
      </w:r>
      <w:r>
        <w:rPr>
          <w:rFonts w:ascii="宋体" w:hAnsi="宋体" w:eastAsia="宋体" w:cs="宋体"/>
          <w:color w:val="auto"/>
          <w:spacing w:val="20"/>
          <w:sz w:val="31"/>
          <w:szCs w:val="31"/>
          <w:highlight w:val="none"/>
        </w:rPr>
        <w:t xml:space="preserve"> </w:t>
      </w:r>
      <w:r>
        <w:rPr>
          <w:rFonts w:ascii="宋体" w:hAnsi="宋体" w:eastAsia="宋体" w:cs="宋体"/>
          <w:color w:val="auto"/>
          <w:spacing w:val="-3"/>
          <w:sz w:val="31"/>
          <w:szCs w:val="31"/>
          <w:highlight w:val="none"/>
        </w:rPr>
        <w:t>协</w:t>
      </w:r>
      <w:r>
        <w:rPr>
          <w:rFonts w:ascii="宋体" w:hAnsi="宋体" w:eastAsia="宋体" w:cs="宋体"/>
          <w:color w:val="auto"/>
          <w:spacing w:val="23"/>
          <w:sz w:val="31"/>
          <w:szCs w:val="31"/>
          <w:highlight w:val="none"/>
        </w:rPr>
        <w:t xml:space="preserve"> </w:t>
      </w:r>
      <w:r>
        <w:rPr>
          <w:rFonts w:ascii="宋体" w:hAnsi="宋体" w:eastAsia="宋体" w:cs="宋体"/>
          <w:color w:val="auto"/>
          <w:spacing w:val="-3"/>
          <w:sz w:val="31"/>
          <w:szCs w:val="31"/>
          <w:highlight w:val="none"/>
        </w:rPr>
        <w:t>议</w:t>
      </w:r>
    </w:p>
    <w:p w14:paraId="24169EB4">
      <w:pPr>
        <w:spacing w:before="230" w:line="359" w:lineRule="auto"/>
        <w:ind w:right="84" w:firstLine="483"/>
        <w:rPr>
          <w:rFonts w:ascii="宋体" w:hAnsi="宋体" w:eastAsia="宋体" w:cs="宋体"/>
          <w:color w:val="auto"/>
          <w:sz w:val="24"/>
          <w:szCs w:val="24"/>
          <w:highlight w:val="none"/>
        </w:rPr>
      </w:pPr>
      <w:r>
        <w:rPr>
          <w:rFonts w:ascii="宋体" w:hAnsi="宋体" w:eastAsia="宋体" w:cs="宋体"/>
          <w:color w:val="auto"/>
          <w:spacing w:val="-12"/>
          <w:sz w:val="24"/>
          <w:szCs w:val="24"/>
          <w:highlight w:val="none"/>
        </w:rPr>
        <w:t>为促进双方诚信经营、廉洁从业，防范商业贿赂，保护国家、集体和当事人的合法</w:t>
      </w:r>
      <w:r>
        <w:rPr>
          <w:rFonts w:ascii="宋体" w:hAnsi="宋体" w:eastAsia="宋体" w:cs="宋体"/>
          <w:color w:val="auto"/>
          <w:spacing w:val="-6"/>
          <w:sz w:val="24"/>
          <w:szCs w:val="24"/>
          <w:highlight w:val="none"/>
        </w:rPr>
        <w:t>权益，根据国家有关法律法规和安徽省、项目所在地廉政建设的规定，</w:t>
      </w:r>
      <w:r>
        <w:rPr>
          <w:rFonts w:ascii="宋体" w:hAnsi="宋体" w:eastAsia="宋体" w:cs="宋体"/>
          <w:color w:val="auto"/>
          <w:sz w:val="24"/>
          <w:szCs w:val="24"/>
          <w:highlight w:val="none"/>
          <w:u w:val="single" w:color="auto"/>
        </w:rPr>
        <w:t xml:space="preserve">              </w:t>
      </w:r>
    </w:p>
    <w:p w14:paraId="630722DA">
      <w:pPr>
        <w:spacing w:before="1" w:line="218" w:lineRule="auto"/>
        <w:jc w:val="right"/>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(以下称甲方)与</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51"/>
          <w:sz w:val="24"/>
          <w:szCs w:val="24"/>
          <w:highlight w:val="none"/>
        </w:rPr>
        <w:t xml:space="preserve"> </w:t>
      </w:r>
      <w:r>
        <w:rPr>
          <w:rFonts w:ascii="宋体" w:hAnsi="宋体" w:eastAsia="宋体" w:cs="宋体"/>
          <w:color w:val="auto"/>
          <w:spacing w:val="-4"/>
          <w:sz w:val="24"/>
          <w:szCs w:val="24"/>
          <w:highlight w:val="none"/>
        </w:rPr>
        <w:t>(以下称乙方)，特此订立本协议共同遵照执行。</w:t>
      </w:r>
    </w:p>
    <w:p w14:paraId="032BB5C8">
      <w:pPr>
        <w:spacing w:before="182" w:line="220" w:lineRule="auto"/>
        <w:ind w:left="48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第一条</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甲乙双方的权利和义务</w:t>
      </w:r>
    </w:p>
    <w:p w14:paraId="5436D371">
      <w:pPr>
        <w:spacing w:before="184" w:line="359" w:lineRule="auto"/>
        <w:ind w:left="4" w:right="94" w:firstLine="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（一）甲乙双方自觉遵守《中华人民共和国反不正当竞争法》、国家工商行政</w:t>
      </w:r>
      <w:r>
        <w:rPr>
          <w:rFonts w:ascii="宋体" w:hAnsi="宋体" w:eastAsia="宋体" w:cs="宋体"/>
          <w:color w:val="auto"/>
          <w:spacing w:val="-3"/>
          <w:sz w:val="24"/>
          <w:szCs w:val="24"/>
          <w:highlight w:val="none"/>
        </w:rPr>
        <w:t>管理</w:t>
      </w:r>
      <w:r>
        <w:rPr>
          <w:rFonts w:ascii="宋体" w:hAnsi="宋体" w:eastAsia="宋体" w:cs="宋体"/>
          <w:color w:val="auto"/>
          <w:spacing w:val="-2"/>
          <w:sz w:val="24"/>
          <w:szCs w:val="24"/>
          <w:highlight w:val="none"/>
        </w:rPr>
        <w:t>局《关于禁止商业贿赂行为的暂行规定》、国家</w:t>
      </w:r>
      <w:r>
        <w:rPr>
          <w:rFonts w:hint="eastAsia" w:ascii="宋体" w:hAnsi="宋体" w:cs="宋体"/>
          <w:color w:val="auto"/>
          <w:spacing w:val="-2"/>
          <w:sz w:val="24"/>
          <w:szCs w:val="24"/>
          <w:highlight w:val="none"/>
          <w:lang w:eastAsia="zh-CN"/>
        </w:rPr>
        <w:t>最高人民法院、最高人民检察院</w:t>
      </w:r>
      <w:r>
        <w:rPr>
          <w:rFonts w:ascii="宋体" w:hAnsi="宋体" w:eastAsia="宋体" w:cs="宋体"/>
          <w:color w:val="auto"/>
          <w:spacing w:val="-2"/>
          <w:sz w:val="24"/>
          <w:szCs w:val="24"/>
          <w:highlight w:val="none"/>
        </w:rPr>
        <w:t>《关于</w:t>
      </w:r>
    </w:p>
    <w:p w14:paraId="271885F6">
      <w:pPr>
        <w:spacing w:before="1" w:line="218" w:lineRule="auto"/>
        <w:ind w:left="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办理受贿刑事案件适用法律若干问题的意见》及相关</w:t>
      </w:r>
      <w:r>
        <w:rPr>
          <w:rFonts w:ascii="宋体" w:hAnsi="宋体" w:eastAsia="宋体" w:cs="宋体"/>
          <w:color w:val="auto"/>
          <w:spacing w:val="-2"/>
          <w:sz w:val="24"/>
          <w:szCs w:val="24"/>
          <w:highlight w:val="none"/>
        </w:rPr>
        <w:t>法律法规和廉政建设的规定。</w:t>
      </w:r>
    </w:p>
    <w:p w14:paraId="13FD4A58">
      <w:pPr>
        <w:spacing w:before="181" w:line="360" w:lineRule="auto"/>
        <w:ind w:left="488"/>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（二）</w:t>
      </w:r>
      <w:r>
        <w:rPr>
          <w:rFonts w:ascii="宋体" w:hAnsi="宋体" w:eastAsia="宋体" w:cs="宋体"/>
          <w:color w:val="auto"/>
          <w:spacing w:val="-49"/>
          <w:sz w:val="24"/>
          <w:szCs w:val="24"/>
          <w:highlight w:val="none"/>
        </w:rPr>
        <w:t xml:space="preserve"> </w:t>
      </w:r>
      <w:r>
        <w:rPr>
          <w:rFonts w:ascii="宋体" w:hAnsi="宋体" w:eastAsia="宋体" w:cs="宋体"/>
          <w:color w:val="auto"/>
          <w:spacing w:val="-11"/>
          <w:sz w:val="24"/>
          <w:szCs w:val="24"/>
          <w:highlight w:val="none"/>
        </w:rPr>
        <w:t>严格执行</w:t>
      </w:r>
      <w:r>
        <w:rPr>
          <w:rFonts w:ascii="宋体" w:hAnsi="宋体" w:eastAsia="宋体" w:cs="宋体"/>
          <w:color w:val="auto"/>
          <w:spacing w:val="-11"/>
          <w:sz w:val="24"/>
          <w:szCs w:val="24"/>
          <w:highlight w:val="none"/>
          <w:u w:val="single" w:color="auto"/>
        </w:rPr>
        <w:t xml:space="preserve">                           </w:t>
      </w:r>
      <w:r>
        <w:rPr>
          <w:rFonts w:ascii="宋体" w:hAnsi="宋体" w:eastAsia="宋体" w:cs="宋体"/>
          <w:color w:val="auto"/>
          <w:spacing w:val="-12"/>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12"/>
          <w:sz w:val="24"/>
          <w:szCs w:val="24"/>
          <w:highlight w:val="none"/>
        </w:rPr>
        <w:t>的合同要求，自觉履行合同约</w:t>
      </w:r>
    </w:p>
    <w:p w14:paraId="52E034A2">
      <w:pPr>
        <w:spacing w:line="219" w:lineRule="auto"/>
        <w:ind w:left="7"/>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定的相关义务。</w:t>
      </w:r>
    </w:p>
    <w:p w14:paraId="3709C23D">
      <w:pPr>
        <w:spacing w:before="181" w:line="468" w:lineRule="exact"/>
        <w:ind w:left="488"/>
        <w:rPr>
          <w:rFonts w:ascii="宋体" w:hAnsi="宋体" w:eastAsia="宋体" w:cs="宋体"/>
          <w:color w:val="auto"/>
          <w:sz w:val="24"/>
          <w:szCs w:val="24"/>
          <w:highlight w:val="none"/>
        </w:rPr>
      </w:pPr>
      <w:r>
        <w:rPr>
          <w:rFonts w:ascii="宋体" w:hAnsi="宋体" w:eastAsia="宋体" w:cs="宋体"/>
          <w:color w:val="auto"/>
          <w:spacing w:val="-10"/>
          <w:position w:val="17"/>
          <w:sz w:val="24"/>
          <w:szCs w:val="24"/>
          <w:highlight w:val="none"/>
        </w:rPr>
        <w:t>（三）</w:t>
      </w:r>
      <w:r>
        <w:rPr>
          <w:rFonts w:ascii="宋体" w:hAnsi="宋体" w:eastAsia="宋体" w:cs="宋体"/>
          <w:color w:val="auto"/>
          <w:spacing w:val="-20"/>
          <w:position w:val="17"/>
          <w:sz w:val="24"/>
          <w:szCs w:val="24"/>
          <w:highlight w:val="none"/>
        </w:rPr>
        <w:t xml:space="preserve"> </w:t>
      </w:r>
      <w:r>
        <w:rPr>
          <w:rFonts w:ascii="宋体" w:hAnsi="宋体" w:eastAsia="宋体" w:cs="宋体"/>
          <w:color w:val="auto"/>
          <w:spacing w:val="-10"/>
          <w:position w:val="17"/>
          <w:sz w:val="24"/>
          <w:szCs w:val="24"/>
          <w:highlight w:val="none"/>
        </w:rPr>
        <w:t>在业务活动中坚持公开、公正、诚信、透明的原则，不得损害国家、集体利</w:t>
      </w:r>
      <w:r>
        <w:rPr>
          <w:rFonts w:hint="eastAsia" w:ascii="宋体" w:hAnsi="宋体" w:eastAsia="宋体" w:cs="宋体"/>
          <w:color w:val="auto"/>
          <w:spacing w:val="-10"/>
          <w:position w:val="17"/>
          <w:sz w:val="24"/>
          <w:szCs w:val="24"/>
          <w:highlight w:val="none"/>
        </w:rPr>
        <w:t>益。</w:t>
      </w:r>
    </w:p>
    <w:p w14:paraId="2C4AB8ED">
      <w:pPr>
        <w:spacing w:before="168" w:line="468" w:lineRule="exact"/>
        <w:ind w:left="488"/>
        <w:rPr>
          <w:rFonts w:ascii="宋体" w:hAnsi="宋体" w:eastAsia="宋体" w:cs="宋体"/>
          <w:color w:val="auto"/>
          <w:sz w:val="24"/>
          <w:szCs w:val="24"/>
          <w:highlight w:val="none"/>
        </w:rPr>
      </w:pPr>
      <w:r>
        <w:rPr>
          <w:rFonts w:ascii="宋体" w:hAnsi="宋体" w:eastAsia="宋体" w:cs="宋体"/>
          <w:color w:val="auto"/>
          <w:spacing w:val="-19"/>
          <w:position w:val="17"/>
          <w:sz w:val="24"/>
          <w:szCs w:val="24"/>
          <w:highlight w:val="none"/>
        </w:rPr>
        <w:t>（四）</w:t>
      </w:r>
      <w:r>
        <w:rPr>
          <w:rFonts w:ascii="宋体" w:hAnsi="宋体" w:eastAsia="宋体" w:cs="宋体"/>
          <w:color w:val="auto"/>
          <w:spacing w:val="-32"/>
          <w:position w:val="17"/>
          <w:sz w:val="24"/>
          <w:szCs w:val="24"/>
          <w:highlight w:val="none"/>
        </w:rPr>
        <w:t xml:space="preserve"> </w:t>
      </w:r>
      <w:r>
        <w:rPr>
          <w:rFonts w:ascii="宋体" w:hAnsi="宋体" w:eastAsia="宋体" w:cs="宋体"/>
          <w:color w:val="auto"/>
          <w:spacing w:val="-19"/>
          <w:position w:val="17"/>
          <w:sz w:val="24"/>
          <w:szCs w:val="24"/>
          <w:highlight w:val="none"/>
        </w:rPr>
        <w:t>建立健全廉政制度，开展廉政教育，公布举报电话，监督并认真查处违法违</w:t>
      </w:r>
      <w:r>
        <w:rPr>
          <w:rFonts w:hint="eastAsia" w:ascii="宋体" w:hAnsi="宋体" w:eastAsia="宋体" w:cs="宋体"/>
          <w:color w:val="auto"/>
          <w:spacing w:val="-19"/>
          <w:position w:val="17"/>
          <w:sz w:val="24"/>
          <w:szCs w:val="24"/>
          <w:highlight w:val="none"/>
        </w:rPr>
        <w:t>纪行为。</w:t>
      </w:r>
    </w:p>
    <w:p w14:paraId="0B5E10A4">
      <w:pPr>
        <w:spacing w:before="180" w:line="468" w:lineRule="exact"/>
        <w:ind w:left="488"/>
        <w:rPr>
          <w:rFonts w:ascii="宋体" w:hAnsi="宋体" w:eastAsia="宋体" w:cs="宋体"/>
          <w:color w:val="auto"/>
          <w:sz w:val="24"/>
          <w:szCs w:val="24"/>
          <w:highlight w:val="none"/>
        </w:rPr>
      </w:pPr>
      <w:r>
        <w:rPr>
          <w:rFonts w:ascii="宋体" w:hAnsi="宋体" w:eastAsia="宋体" w:cs="宋体"/>
          <w:color w:val="auto"/>
          <w:spacing w:val="-9"/>
          <w:position w:val="17"/>
          <w:sz w:val="24"/>
          <w:szCs w:val="24"/>
          <w:highlight w:val="none"/>
        </w:rPr>
        <w:t>（五）</w:t>
      </w:r>
      <w:r>
        <w:rPr>
          <w:rFonts w:ascii="宋体" w:hAnsi="宋体" w:eastAsia="宋体" w:cs="宋体"/>
          <w:color w:val="auto"/>
          <w:spacing w:val="-38"/>
          <w:position w:val="17"/>
          <w:sz w:val="24"/>
          <w:szCs w:val="24"/>
          <w:highlight w:val="none"/>
        </w:rPr>
        <w:t xml:space="preserve"> </w:t>
      </w:r>
      <w:r>
        <w:rPr>
          <w:rFonts w:ascii="宋体" w:hAnsi="宋体" w:eastAsia="宋体" w:cs="宋体"/>
          <w:color w:val="auto"/>
          <w:spacing w:val="-9"/>
          <w:position w:val="17"/>
          <w:sz w:val="24"/>
          <w:szCs w:val="24"/>
          <w:highlight w:val="none"/>
        </w:rPr>
        <w:t>发现对方在业务活动中有违反廉政规定的行为，应及时提醒对方纠</w:t>
      </w:r>
      <w:r>
        <w:rPr>
          <w:rFonts w:ascii="宋体" w:hAnsi="宋体" w:eastAsia="宋体" w:cs="宋体"/>
          <w:color w:val="auto"/>
          <w:spacing w:val="-10"/>
          <w:position w:val="17"/>
          <w:sz w:val="24"/>
          <w:szCs w:val="24"/>
          <w:highlight w:val="none"/>
        </w:rPr>
        <w:t>正。情节</w:t>
      </w:r>
    </w:p>
    <w:p w14:paraId="154239F0">
      <w:pPr>
        <w:spacing w:line="218" w:lineRule="auto"/>
        <w:ind w:left="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严重的，应向其上级有关部门举报、建议给予处理，并有</w:t>
      </w:r>
      <w:r>
        <w:rPr>
          <w:rFonts w:ascii="宋体" w:hAnsi="宋体" w:eastAsia="宋体" w:cs="宋体"/>
          <w:color w:val="auto"/>
          <w:spacing w:val="-2"/>
          <w:sz w:val="24"/>
          <w:szCs w:val="24"/>
          <w:highlight w:val="none"/>
        </w:rPr>
        <w:t>权要求告知处理结果。</w:t>
      </w:r>
    </w:p>
    <w:p w14:paraId="0674980F">
      <w:pPr>
        <w:spacing w:before="181" w:line="220" w:lineRule="auto"/>
        <w:ind w:left="481"/>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第二条</w:t>
      </w:r>
      <w:r>
        <w:rPr>
          <w:rFonts w:ascii="宋体" w:hAnsi="宋体" w:eastAsia="宋体" w:cs="宋体"/>
          <w:color w:val="auto"/>
          <w:spacing w:val="45"/>
          <w:sz w:val="24"/>
          <w:szCs w:val="24"/>
          <w:highlight w:val="none"/>
        </w:rPr>
        <w:t xml:space="preserve"> </w:t>
      </w:r>
      <w:r>
        <w:rPr>
          <w:rFonts w:ascii="宋体" w:hAnsi="宋体" w:eastAsia="宋体" w:cs="宋体"/>
          <w:color w:val="auto"/>
          <w:spacing w:val="-6"/>
          <w:sz w:val="24"/>
          <w:szCs w:val="24"/>
          <w:highlight w:val="none"/>
        </w:rPr>
        <w:t>甲方的义务</w:t>
      </w:r>
    </w:p>
    <w:p w14:paraId="64B4FC5B">
      <w:pPr>
        <w:spacing w:before="183" w:line="465" w:lineRule="exact"/>
        <w:ind w:left="644"/>
        <w:rPr>
          <w:rFonts w:ascii="宋体" w:hAnsi="宋体" w:eastAsia="宋体" w:cs="宋体"/>
          <w:color w:val="auto"/>
          <w:sz w:val="24"/>
          <w:szCs w:val="24"/>
          <w:highlight w:val="none"/>
        </w:rPr>
      </w:pPr>
      <w:r>
        <w:rPr>
          <w:rFonts w:ascii="宋体" w:hAnsi="宋体" w:eastAsia="宋体" w:cs="宋体"/>
          <w:color w:val="auto"/>
          <w:spacing w:val="-1"/>
          <w:position w:val="17"/>
          <w:sz w:val="24"/>
          <w:szCs w:val="24"/>
          <w:highlight w:val="none"/>
        </w:rPr>
        <w:t>(一)甲方及其工作人员不得索要或接受乙</w:t>
      </w:r>
      <w:r>
        <w:rPr>
          <w:rFonts w:ascii="宋体" w:hAnsi="宋体" w:eastAsia="宋体" w:cs="宋体"/>
          <w:color w:val="auto"/>
          <w:spacing w:val="-2"/>
          <w:position w:val="17"/>
          <w:sz w:val="24"/>
          <w:szCs w:val="24"/>
          <w:highlight w:val="none"/>
        </w:rPr>
        <w:t>方的礼金、有价证券和贵重物品，不得</w:t>
      </w:r>
    </w:p>
    <w:p w14:paraId="53785EDF">
      <w:pPr>
        <w:spacing w:before="1"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在乙方报销任何应由甲方单位或个人支付的费用等。</w:t>
      </w:r>
    </w:p>
    <w:p w14:paraId="0C3DD24A">
      <w:pPr>
        <w:spacing w:before="183" w:line="359" w:lineRule="auto"/>
        <w:ind w:left="10" w:right="86" w:firstLine="47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（二）甲方工作人员不得参加乙方安排的可能影响相关业务公开、公正、公</w:t>
      </w:r>
      <w:r>
        <w:rPr>
          <w:rFonts w:ascii="宋体" w:hAnsi="宋体" w:eastAsia="宋体" w:cs="宋体"/>
          <w:color w:val="auto"/>
          <w:spacing w:val="-6"/>
          <w:sz w:val="24"/>
          <w:szCs w:val="24"/>
          <w:highlight w:val="none"/>
        </w:rPr>
        <w:t>平性的</w:t>
      </w:r>
      <w:r>
        <w:rPr>
          <w:rFonts w:ascii="宋体" w:hAnsi="宋体" w:eastAsia="宋体" w:cs="宋体"/>
          <w:color w:val="auto"/>
          <w:sz w:val="24"/>
          <w:szCs w:val="24"/>
          <w:highlight w:val="none"/>
        </w:rPr>
        <w:t xml:space="preserve"> </w:t>
      </w:r>
      <w:r>
        <w:rPr>
          <w:rFonts w:ascii="宋体" w:hAnsi="宋体" w:eastAsia="宋体" w:cs="宋体"/>
          <w:color w:val="auto"/>
          <w:spacing w:val="-10"/>
          <w:sz w:val="24"/>
          <w:szCs w:val="24"/>
          <w:highlight w:val="none"/>
        </w:rPr>
        <w:t>宴请和娱乐活动；不得参与任何形式的赌博，严禁通过赌博</w:t>
      </w:r>
      <w:r>
        <w:rPr>
          <w:rFonts w:ascii="宋体" w:hAnsi="宋体" w:eastAsia="宋体" w:cs="宋体"/>
          <w:color w:val="auto"/>
          <w:spacing w:val="-11"/>
          <w:sz w:val="24"/>
          <w:szCs w:val="24"/>
          <w:highlight w:val="none"/>
        </w:rPr>
        <w:t>方式取得乙方及其工作人员</w:t>
      </w:r>
      <w:r>
        <w:rPr>
          <w:rFonts w:ascii="宋体" w:hAnsi="宋体" w:eastAsia="宋体" w:cs="宋体"/>
          <w:color w:val="auto"/>
          <w:spacing w:val="-3"/>
          <w:sz w:val="24"/>
          <w:szCs w:val="24"/>
          <w:highlight w:val="none"/>
        </w:rPr>
        <w:t>的财物；</w:t>
      </w:r>
    </w:p>
    <w:p w14:paraId="50606AB9">
      <w:pPr>
        <w:spacing w:before="2" w:line="218" w:lineRule="auto"/>
        <w:ind w:left="2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不得接受乙方提供的通讯工具和高档办公用品等。</w:t>
      </w:r>
    </w:p>
    <w:p w14:paraId="034E37F2">
      <w:pPr>
        <w:spacing w:before="183" w:line="466" w:lineRule="exact"/>
        <w:ind w:left="488"/>
        <w:rPr>
          <w:rFonts w:ascii="宋体" w:hAnsi="宋体" w:eastAsia="宋体" w:cs="宋体"/>
          <w:color w:val="auto"/>
          <w:sz w:val="24"/>
          <w:szCs w:val="24"/>
          <w:highlight w:val="none"/>
        </w:rPr>
      </w:pPr>
      <w:r>
        <w:rPr>
          <w:rFonts w:ascii="宋体" w:hAnsi="宋体" w:eastAsia="宋体" w:cs="宋体"/>
          <w:color w:val="auto"/>
          <w:spacing w:val="-5"/>
          <w:position w:val="17"/>
          <w:sz w:val="24"/>
          <w:szCs w:val="24"/>
          <w:highlight w:val="none"/>
        </w:rPr>
        <w:t>（三）甲方及其工作人员不得要求或者接受乙方为其住房装修、婚丧嫁娶活动、</w:t>
      </w:r>
    </w:p>
    <w:p w14:paraId="75629578">
      <w:pPr>
        <w:spacing w:before="1" w:line="218"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配偶子女工作安排以及出国出境、旅游等提供方便等。</w:t>
      </w:r>
    </w:p>
    <w:p w14:paraId="03ABF09E">
      <w:pPr>
        <w:spacing w:before="183" w:line="466" w:lineRule="exact"/>
        <w:ind w:left="488"/>
        <w:rPr>
          <w:rFonts w:ascii="宋体" w:hAnsi="宋体" w:eastAsia="宋体" w:cs="宋体"/>
          <w:color w:val="auto"/>
          <w:sz w:val="24"/>
          <w:szCs w:val="24"/>
          <w:highlight w:val="none"/>
        </w:rPr>
      </w:pPr>
      <w:r>
        <w:rPr>
          <w:rFonts w:ascii="宋体" w:hAnsi="宋体" w:eastAsia="宋体" w:cs="宋体"/>
          <w:color w:val="auto"/>
          <w:spacing w:val="-4"/>
          <w:position w:val="17"/>
          <w:sz w:val="24"/>
          <w:szCs w:val="24"/>
          <w:highlight w:val="none"/>
        </w:rPr>
        <w:t>（四）甲方工作人员不得在乙方有股权关联的企业兼职，不得向乙方介绍家属或</w:t>
      </w:r>
    </w:p>
    <w:p w14:paraId="55258E7F">
      <w:pPr>
        <w:spacing w:before="1" w:line="219" w:lineRule="auto"/>
        <w:ind w:left="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者亲友从事与甲方业务有关的经济活动。</w:t>
      </w:r>
    </w:p>
    <w:p w14:paraId="61650E39">
      <w:pPr>
        <w:spacing w:before="182" w:line="359" w:lineRule="auto"/>
        <w:ind w:left="2" w:right="86" w:firstLine="485"/>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（五）甲方工作人员不得以明显低于市场的价格向乙方购买房屋、汽车等物品</w:t>
      </w:r>
      <w:r>
        <w:rPr>
          <w:rFonts w:hint="eastAsia" w:ascii="宋体" w:hAnsi="宋体" w:cs="宋体"/>
          <w:color w:val="auto"/>
          <w:spacing w:val="-10"/>
          <w:sz w:val="24"/>
          <w:szCs w:val="24"/>
          <w:highlight w:val="none"/>
          <w:lang w:eastAsia="zh-CN"/>
        </w:rPr>
        <w:t>，</w:t>
      </w:r>
      <w:r>
        <w:rPr>
          <w:rFonts w:ascii="宋体" w:hAnsi="宋体" w:eastAsia="宋体" w:cs="宋体"/>
          <w:color w:val="auto"/>
          <w:spacing w:val="-10"/>
          <w:sz w:val="24"/>
          <w:szCs w:val="24"/>
          <w:highlight w:val="none"/>
        </w:rPr>
        <w:t>不</w:t>
      </w:r>
      <w:r>
        <w:rPr>
          <w:rFonts w:ascii="宋体" w:hAnsi="宋体" w:eastAsia="宋体" w:cs="宋体"/>
          <w:color w:val="auto"/>
          <w:spacing w:val="-6"/>
          <w:sz w:val="24"/>
          <w:szCs w:val="24"/>
          <w:highlight w:val="none"/>
        </w:rPr>
        <w:t>得以明显高于市场的价格向乙方出售房屋、汽车等物品；不得以其他交易形式非法收受</w:t>
      </w:r>
      <w:r>
        <w:rPr>
          <w:rFonts w:hint="eastAsia" w:ascii="宋体" w:hAnsi="宋体" w:eastAsia="宋体" w:cs="宋体"/>
          <w:color w:val="auto"/>
          <w:spacing w:val="-6"/>
          <w:sz w:val="24"/>
          <w:szCs w:val="24"/>
          <w:highlight w:val="none"/>
        </w:rPr>
        <w:t>请托人财物。</w:t>
      </w:r>
    </w:p>
    <w:p w14:paraId="28102467">
      <w:pPr>
        <w:spacing w:line="220" w:lineRule="auto"/>
        <w:rPr>
          <w:rFonts w:ascii="宋体" w:hAnsi="宋体" w:eastAsia="宋体" w:cs="宋体"/>
          <w:color w:val="auto"/>
          <w:sz w:val="24"/>
          <w:szCs w:val="24"/>
          <w:highlight w:val="none"/>
        </w:rPr>
        <w:sectPr>
          <w:footerReference r:id="rId9" w:type="default"/>
          <w:pgSz w:w="11907" w:h="16841"/>
          <w:pgMar w:top="1289" w:right="1329" w:bottom="1261" w:left="1426" w:header="0" w:footer="1085" w:gutter="0"/>
          <w:pgNumType w:fmt="decimal"/>
          <w:cols w:space="720" w:num="1"/>
        </w:sectPr>
      </w:pPr>
    </w:p>
    <w:p w14:paraId="42A1A08A">
      <w:pPr>
        <w:spacing w:before="48" w:line="468" w:lineRule="exact"/>
        <w:ind w:right="34"/>
        <w:jc w:val="center"/>
        <w:rPr>
          <w:rFonts w:ascii="宋体" w:hAnsi="宋体" w:eastAsia="宋体" w:cs="宋体"/>
          <w:color w:val="auto"/>
          <w:sz w:val="24"/>
          <w:szCs w:val="24"/>
          <w:highlight w:val="none"/>
        </w:rPr>
      </w:pPr>
      <w:r>
        <w:rPr>
          <w:rFonts w:ascii="宋体" w:hAnsi="宋体" w:eastAsia="宋体" w:cs="宋体"/>
          <w:color w:val="auto"/>
          <w:spacing w:val="-9"/>
          <w:position w:val="17"/>
          <w:sz w:val="24"/>
          <w:szCs w:val="24"/>
          <w:highlight w:val="none"/>
        </w:rPr>
        <w:t>（六）甲方工作人员不得利用职务之便收受乙方以回扣、手续费、加</w:t>
      </w:r>
      <w:r>
        <w:rPr>
          <w:rFonts w:ascii="宋体" w:hAnsi="宋体" w:eastAsia="宋体" w:cs="宋体"/>
          <w:color w:val="auto"/>
          <w:spacing w:val="-10"/>
          <w:position w:val="17"/>
          <w:sz w:val="24"/>
          <w:szCs w:val="24"/>
          <w:highlight w:val="none"/>
        </w:rPr>
        <w:t>班费、咨询费、</w:t>
      </w:r>
    </w:p>
    <w:p w14:paraId="47A84BF1">
      <w:pPr>
        <w:spacing w:line="219" w:lineRule="auto"/>
        <w:ind w:left="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劳务费、协调费、辛苦费等各种名义给予或赠送的钱物。</w:t>
      </w:r>
    </w:p>
    <w:p w14:paraId="721BF7D4">
      <w:pPr>
        <w:spacing w:before="179" w:line="219" w:lineRule="auto"/>
        <w:ind w:left="48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（七）甲方工作人员不得接受乙方给予或赠送的干股或红利。</w:t>
      </w:r>
    </w:p>
    <w:p w14:paraId="54F70B94">
      <w:pPr>
        <w:spacing w:before="183" w:line="466" w:lineRule="exact"/>
        <w:ind w:right="15"/>
        <w:jc w:val="center"/>
        <w:rPr>
          <w:rFonts w:ascii="宋体" w:hAnsi="宋体" w:eastAsia="宋体" w:cs="宋体"/>
          <w:color w:val="auto"/>
          <w:sz w:val="24"/>
          <w:szCs w:val="24"/>
          <w:highlight w:val="none"/>
        </w:rPr>
      </w:pPr>
      <w:r>
        <w:rPr>
          <w:rFonts w:hint="eastAsia" w:ascii="宋体" w:hAnsi="宋体" w:cs="宋体"/>
          <w:color w:val="auto"/>
          <w:spacing w:val="-5"/>
          <w:position w:val="17"/>
          <w:sz w:val="24"/>
          <w:szCs w:val="24"/>
          <w:highlight w:val="none"/>
          <w:lang w:val="en-US" w:eastAsia="zh-CN"/>
        </w:rPr>
        <w:t xml:space="preserve">  </w:t>
      </w:r>
      <w:r>
        <w:rPr>
          <w:rFonts w:ascii="宋体" w:hAnsi="宋体" w:eastAsia="宋体" w:cs="宋体"/>
          <w:color w:val="auto"/>
          <w:spacing w:val="-5"/>
          <w:position w:val="17"/>
          <w:sz w:val="24"/>
          <w:szCs w:val="24"/>
          <w:highlight w:val="none"/>
        </w:rPr>
        <w:t>（八） 甲方任何人不得以个人的名义向乙方推</w:t>
      </w:r>
      <w:r>
        <w:rPr>
          <w:rFonts w:ascii="宋体" w:hAnsi="宋体" w:eastAsia="宋体" w:cs="宋体"/>
          <w:color w:val="auto"/>
          <w:spacing w:val="-6"/>
          <w:position w:val="17"/>
          <w:sz w:val="24"/>
          <w:szCs w:val="24"/>
          <w:highlight w:val="none"/>
        </w:rPr>
        <w:t>荐设备、部件等供货商以及其他合作</w:t>
      </w:r>
    </w:p>
    <w:p w14:paraId="1F3F7AF0">
      <w:pPr>
        <w:spacing w:line="220" w:lineRule="auto"/>
        <w:ind w:left="2"/>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单位。</w:t>
      </w:r>
    </w:p>
    <w:p w14:paraId="27926917">
      <w:pPr>
        <w:spacing w:before="181" w:line="220" w:lineRule="auto"/>
        <w:ind w:left="48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第三条</w:t>
      </w:r>
      <w:r>
        <w:rPr>
          <w:rFonts w:ascii="宋体" w:hAnsi="宋体" w:eastAsia="宋体" w:cs="宋体"/>
          <w:color w:val="auto"/>
          <w:spacing w:val="36"/>
          <w:sz w:val="24"/>
          <w:szCs w:val="24"/>
          <w:highlight w:val="none"/>
        </w:rPr>
        <w:t xml:space="preserve"> </w:t>
      </w:r>
      <w:r>
        <w:rPr>
          <w:rFonts w:ascii="宋体" w:hAnsi="宋体" w:eastAsia="宋体" w:cs="宋体"/>
          <w:color w:val="auto"/>
          <w:spacing w:val="-5"/>
          <w:sz w:val="24"/>
          <w:szCs w:val="24"/>
          <w:highlight w:val="none"/>
        </w:rPr>
        <w:t>乙方的义务</w:t>
      </w:r>
    </w:p>
    <w:p w14:paraId="5E2A2695">
      <w:pPr>
        <w:spacing w:before="183" w:line="465" w:lineRule="exact"/>
        <w:ind w:left="643"/>
        <w:rPr>
          <w:rFonts w:ascii="宋体" w:hAnsi="宋体" w:eastAsia="宋体" w:cs="宋体"/>
          <w:color w:val="auto"/>
          <w:sz w:val="24"/>
          <w:szCs w:val="24"/>
          <w:highlight w:val="none"/>
        </w:rPr>
      </w:pPr>
      <w:r>
        <w:rPr>
          <w:rFonts w:ascii="宋体" w:hAnsi="宋体" w:eastAsia="宋体" w:cs="宋体"/>
          <w:color w:val="auto"/>
          <w:spacing w:val="-1"/>
          <w:position w:val="17"/>
          <w:sz w:val="24"/>
          <w:szCs w:val="24"/>
          <w:highlight w:val="none"/>
        </w:rPr>
        <w:t>(一)乙方不得以任何理由向甲方及其工作</w:t>
      </w:r>
      <w:r>
        <w:rPr>
          <w:rFonts w:ascii="宋体" w:hAnsi="宋体" w:eastAsia="宋体" w:cs="宋体"/>
          <w:color w:val="auto"/>
          <w:spacing w:val="-2"/>
          <w:position w:val="17"/>
          <w:sz w:val="24"/>
          <w:szCs w:val="24"/>
          <w:highlight w:val="none"/>
        </w:rPr>
        <w:t>人员行贿或馈赠礼金、有价证券、贵重</w:t>
      </w:r>
    </w:p>
    <w:p w14:paraId="4F005649">
      <w:pPr>
        <w:spacing w:before="2" w:line="220" w:lineRule="auto"/>
        <w:ind w:left="4"/>
        <w:rPr>
          <w:rFonts w:ascii="宋体" w:hAnsi="宋体" w:eastAsia="宋体" w:cs="宋体"/>
          <w:color w:val="auto"/>
          <w:sz w:val="24"/>
          <w:szCs w:val="24"/>
          <w:highlight w:val="none"/>
        </w:rPr>
      </w:pPr>
      <w:r>
        <w:rPr>
          <w:rFonts w:ascii="宋体" w:hAnsi="宋体" w:eastAsia="宋体" w:cs="宋体"/>
          <w:color w:val="auto"/>
          <w:spacing w:val="-11"/>
          <w:sz w:val="24"/>
          <w:szCs w:val="24"/>
          <w:highlight w:val="none"/>
        </w:rPr>
        <w:t>礼品。</w:t>
      </w:r>
    </w:p>
    <w:p w14:paraId="72C99769">
      <w:pPr>
        <w:spacing w:before="181" w:line="466" w:lineRule="exact"/>
        <w:ind w:left="487"/>
        <w:rPr>
          <w:rFonts w:ascii="宋体" w:hAnsi="宋体" w:eastAsia="宋体" w:cs="宋体"/>
          <w:color w:val="auto"/>
          <w:sz w:val="24"/>
          <w:szCs w:val="24"/>
          <w:highlight w:val="none"/>
        </w:rPr>
      </w:pPr>
      <w:r>
        <w:rPr>
          <w:rFonts w:ascii="宋体" w:hAnsi="宋体" w:eastAsia="宋体" w:cs="宋体"/>
          <w:color w:val="auto"/>
          <w:position w:val="17"/>
          <w:sz w:val="24"/>
          <w:szCs w:val="24"/>
          <w:highlight w:val="none"/>
        </w:rPr>
        <w:t>（二)乙方不得以任何名义为甲方及其工作人</w:t>
      </w:r>
      <w:r>
        <w:rPr>
          <w:rFonts w:ascii="宋体" w:hAnsi="宋体" w:eastAsia="宋体" w:cs="宋体"/>
          <w:color w:val="auto"/>
          <w:spacing w:val="-1"/>
          <w:position w:val="17"/>
          <w:sz w:val="24"/>
          <w:szCs w:val="24"/>
          <w:highlight w:val="none"/>
        </w:rPr>
        <w:t>员报销应由甲方单位或个人支付的任</w:t>
      </w:r>
    </w:p>
    <w:p w14:paraId="342F600F">
      <w:pPr>
        <w:spacing w:line="220" w:lineRule="auto"/>
        <w:ind w:left="4"/>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何费用。</w:t>
      </w:r>
    </w:p>
    <w:p w14:paraId="78DBF118">
      <w:pPr>
        <w:spacing w:before="182" w:line="465" w:lineRule="exact"/>
        <w:jc w:val="right"/>
        <w:rPr>
          <w:rFonts w:ascii="宋体" w:hAnsi="宋体" w:eastAsia="宋体" w:cs="宋体"/>
          <w:color w:val="auto"/>
          <w:sz w:val="24"/>
          <w:szCs w:val="24"/>
          <w:highlight w:val="none"/>
        </w:rPr>
      </w:pPr>
      <w:r>
        <w:rPr>
          <w:rFonts w:ascii="宋体" w:hAnsi="宋体" w:eastAsia="宋体" w:cs="宋体"/>
          <w:color w:val="auto"/>
          <w:spacing w:val="-3"/>
          <w:position w:val="17"/>
          <w:sz w:val="24"/>
          <w:szCs w:val="24"/>
          <w:highlight w:val="none"/>
        </w:rPr>
        <w:t>(三)乙方不得以任何理由安排甲方工作人员参加可能影响相关业务公开、公正、公</w:t>
      </w:r>
    </w:p>
    <w:p w14:paraId="66FE6A24">
      <w:pPr>
        <w:spacing w:line="220"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平性的宴请及娱乐活动。</w:t>
      </w:r>
    </w:p>
    <w:p w14:paraId="155DBC37">
      <w:pPr>
        <w:spacing w:before="182" w:line="466" w:lineRule="exact"/>
        <w:jc w:val="right"/>
        <w:rPr>
          <w:rFonts w:ascii="宋体" w:hAnsi="宋体" w:eastAsia="宋体" w:cs="宋体"/>
          <w:color w:val="auto"/>
          <w:sz w:val="24"/>
          <w:szCs w:val="24"/>
          <w:highlight w:val="none"/>
        </w:rPr>
      </w:pPr>
      <w:r>
        <w:rPr>
          <w:rFonts w:ascii="宋体" w:hAnsi="宋体" w:eastAsia="宋体" w:cs="宋体"/>
          <w:color w:val="auto"/>
          <w:spacing w:val="-9"/>
          <w:position w:val="17"/>
          <w:sz w:val="24"/>
          <w:szCs w:val="24"/>
          <w:highlight w:val="none"/>
        </w:rPr>
        <w:t>（四）</w:t>
      </w:r>
      <w:r>
        <w:rPr>
          <w:rFonts w:ascii="宋体" w:hAnsi="宋体" w:eastAsia="宋体" w:cs="宋体"/>
          <w:color w:val="auto"/>
          <w:spacing w:val="-26"/>
          <w:position w:val="17"/>
          <w:sz w:val="24"/>
          <w:szCs w:val="24"/>
          <w:highlight w:val="none"/>
        </w:rPr>
        <w:t xml:space="preserve"> </w:t>
      </w:r>
      <w:r>
        <w:rPr>
          <w:rFonts w:ascii="宋体" w:hAnsi="宋体" w:eastAsia="宋体" w:cs="宋体"/>
          <w:color w:val="auto"/>
          <w:spacing w:val="-9"/>
          <w:position w:val="17"/>
          <w:sz w:val="24"/>
          <w:szCs w:val="24"/>
          <w:highlight w:val="none"/>
        </w:rPr>
        <w:t>乙方不得为甲方单位和个人购置或提供通讯工</w:t>
      </w:r>
      <w:r>
        <w:rPr>
          <w:rFonts w:ascii="宋体" w:hAnsi="宋体" w:eastAsia="宋体" w:cs="宋体"/>
          <w:color w:val="auto"/>
          <w:spacing w:val="-10"/>
          <w:position w:val="17"/>
          <w:sz w:val="24"/>
          <w:szCs w:val="24"/>
          <w:highlight w:val="none"/>
        </w:rPr>
        <w:t>具和高档办公用品等物品，也</w:t>
      </w:r>
    </w:p>
    <w:p w14:paraId="7F995412">
      <w:pPr>
        <w:spacing w:before="1" w:line="218" w:lineRule="auto"/>
        <w:ind w:left="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不得为甲方提供与工作无关的房屋、汽车等。</w:t>
      </w:r>
    </w:p>
    <w:p w14:paraId="40732FBD">
      <w:pPr>
        <w:spacing w:before="183" w:line="466" w:lineRule="exact"/>
        <w:ind w:right="10"/>
        <w:jc w:val="right"/>
        <w:rPr>
          <w:rFonts w:ascii="宋体" w:hAnsi="宋体" w:eastAsia="宋体" w:cs="宋体"/>
          <w:color w:val="auto"/>
          <w:sz w:val="24"/>
          <w:szCs w:val="24"/>
          <w:highlight w:val="none"/>
        </w:rPr>
      </w:pPr>
      <w:r>
        <w:rPr>
          <w:rFonts w:ascii="宋体" w:hAnsi="宋体" w:eastAsia="宋体" w:cs="宋体"/>
          <w:color w:val="auto"/>
          <w:spacing w:val="-5"/>
          <w:position w:val="17"/>
          <w:sz w:val="24"/>
          <w:szCs w:val="24"/>
          <w:highlight w:val="none"/>
        </w:rPr>
        <w:t>（五） 乙方不得与甲方工作人员就合同中的质量、数量、</w:t>
      </w:r>
      <w:r>
        <w:rPr>
          <w:rFonts w:ascii="宋体" w:hAnsi="宋体" w:eastAsia="宋体" w:cs="宋体"/>
          <w:color w:val="auto"/>
          <w:spacing w:val="-6"/>
          <w:position w:val="17"/>
          <w:sz w:val="24"/>
          <w:szCs w:val="24"/>
          <w:highlight w:val="none"/>
        </w:rPr>
        <w:t>价格、工程量、验收等条</w:t>
      </w:r>
    </w:p>
    <w:p w14:paraId="4CACED7A">
      <w:pPr>
        <w:spacing w:before="1" w:line="218" w:lineRule="auto"/>
        <w:ind w:left="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款进行私下商谈或者达成默契。</w:t>
      </w:r>
    </w:p>
    <w:p w14:paraId="3CB48139">
      <w:pPr>
        <w:spacing w:before="184" w:line="466" w:lineRule="exact"/>
        <w:ind w:right="13"/>
        <w:jc w:val="right"/>
        <w:rPr>
          <w:rFonts w:ascii="宋体" w:hAnsi="宋体" w:eastAsia="宋体" w:cs="宋体"/>
          <w:color w:val="auto"/>
          <w:sz w:val="24"/>
          <w:szCs w:val="24"/>
          <w:highlight w:val="none"/>
        </w:rPr>
      </w:pPr>
      <w:r>
        <w:rPr>
          <w:rFonts w:ascii="宋体" w:hAnsi="宋体" w:eastAsia="宋体" w:cs="宋体"/>
          <w:color w:val="auto"/>
          <w:spacing w:val="-5"/>
          <w:position w:val="17"/>
          <w:sz w:val="24"/>
          <w:szCs w:val="24"/>
          <w:highlight w:val="none"/>
        </w:rPr>
        <w:t>（六） 乙方不得以回扣、手续费、加班费、咨询费</w:t>
      </w:r>
      <w:r>
        <w:rPr>
          <w:rFonts w:ascii="宋体" w:hAnsi="宋体" w:eastAsia="宋体" w:cs="宋体"/>
          <w:color w:val="auto"/>
          <w:spacing w:val="-6"/>
          <w:position w:val="17"/>
          <w:sz w:val="24"/>
          <w:szCs w:val="24"/>
          <w:highlight w:val="none"/>
        </w:rPr>
        <w:t>、劳务费、协调费、辛苦费等各</w:t>
      </w:r>
    </w:p>
    <w:p w14:paraId="0424C29C">
      <w:pPr>
        <w:spacing w:line="220" w:lineRule="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种名义向甲方工作人员给予或赠送钱物。</w:t>
      </w:r>
    </w:p>
    <w:p w14:paraId="24F59573">
      <w:pPr>
        <w:spacing w:before="181" w:line="219" w:lineRule="auto"/>
        <w:ind w:left="48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（七）乙方不得向甲方工作人员提供干股或红利。</w:t>
      </w:r>
    </w:p>
    <w:p w14:paraId="495725BA">
      <w:pPr>
        <w:spacing w:before="181" w:line="220" w:lineRule="auto"/>
        <w:ind w:left="48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（八）乙方须按</w:t>
      </w:r>
      <w:r>
        <w:rPr>
          <w:rFonts w:ascii="宋体" w:hAnsi="宋体" w:eastAsia="宋体" w:cs="宋体"/>
          <w:color w:val="auto"/>
          <w:spacing w:val="-91"/>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3"/>
          <w:sz w:val="24"/>
          <w:szCs w:val="24"/>
          <w:highlight w:val="none"/>
        </w:rPr>
        <w:t>专项纪检监察工作组(如有)要求开展相关工作。</w:t>
      </w:r>
    </w:p>
    <w:p w14:paraId="5B8A3FAC">
      <w:pPr>
        <w:spacing w:before="182" w:line="220"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第四条 违约责任</w:t>
      </w:r>
    </w:p>
    <w:p w14:paraId="4250C0F2">
      <w:pPr>
        <w:spacing w:before="181" w:line="360" w:lineRule="auto"/>
        <w:ind w:right="2" w:firstLine="487"/>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（一）甲方及其工作人员违反本协议第一、二条规定。甲方按管理权限，对相关责</w:t>
      </w:r>
      <w:r>
        <w:rPr>
          <w:rFonts w:ascii="宋体" w:hAnsi="宋体" w:eastAsia="宋体" w:cs="宋体"/>
          <w:color w:val="auto"/>
          <w:spacing w:val="-10"/>
          <w:sz w:val="24"/>
          <w:szCs w:val="24"/>
          <w:highlight w:val="none"/>
        </w:rPr>
        <w:t>任人依据有关规定给予党纪、政纪处分或组织</w:t>
      </w:r>
      <w:r>
        <w:rPr>
          <w:rFonts w:ascii="宋体" w:hAnsi="宋体" w:eastAsia="宋体" w:cs="宋体"/>
          <w:color w:val="auto"/>
          <w:spacing w:val="-11"/>
          <w:sz w:val="24"/>
          <w:szCs w:val="24"/>
          <w:highlight w:val="none"/>
        </w:rPr>
        <w:t>处理；涉嫌犯罪的，移交司法机关追究刑</w:t>
      </w:r>
      <w:r>
        <w:rPr>
          <w:rFonts w:ascii="宋体" w:hAnsi="宋体" w:eastAsia="宋体" w:cs="宋体"/>
          <w:color w:val="auto"/>
          <w:spacing w:val="-2"/>
          <w:sz w:val="24"/>
          <w:szCs w:val="24"/>
          <w:highlight w:val="none"/>
        </w:rPr>
        <w:t>事责任；</w:t>
      </w:r>
    </w:p>
    <w:p w14:paraId="20AAF82D">
      <w:pPr>
        <w:spacing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给乙方单位造成经济损失的，应予以赔偿。</w:t>
      </w:r>
    </w:p>
    <w:p w14:paraId="15E87F64">
      <w:pPr>
        <w:spacing w:before="180" w:line="220" w:lineRule="auto"/>
        <w:ind w:left="511"/>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甲方投诉联系部门</w:t>
      </w:r>
      <w:r>
        <w:rPr>
          <w:rFonts w:ascii="宋体" w:hAnsi="宋体" w:eastAsia="宋体" w:cs="宋体"/>
          <w:color w:val="auto"/>
          <w:spacing w:val="-24"/>
          <w:sz w:val="24"/>
          <w:szCs w:val="24"/>
          <w:highlight w:val="none"/>
        </w:rPr>
        <w:t>：</w:t>
      </w:r>
      <w:r>
        <w:rPr>
          <w:rFonts w:ascii="宋体" w:hAnsi="宋体" w:eastAsia="宋体" w:cs="宋体"/>
          <w:color w:val="auto"/>
          <w:spacing w:val="56"/>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24"/>
          <w:sz w:val="24"/>
          <w:szCs w:val="24"/>
          <w:highlight w:val="none"/>
        </w:rPr>
        <w:t>，</w:t>
      </w:r>
      <w:r>
        <w:rPr>
          <w:rFonts w:ascii="宋体" w:hAnsi="宋体" w:eastAsia="宋体" w:cs="宋体"/>
          <w:color w:val="auto"/>
          <w:spacing w:val="-19"/>
          <w:sz w:val="24"/>
          <w:szCs w:val="24"/>
          <w:highlight w:val="none"/>
        </w:rPr>
        <w:t>联系电话：</w:t>
      </w:r>
      <w:r>
        <w:rPr>
          <w:rFonts w:ascii="宋体" w:hAnsi="宋体" w:eastAsia="宋体" w:cs="宋体"/>
          <w:color w:val="auto"/>
          <w:spacing w:val="55"/>
          <w:sz w:val="24"/>
          <w:szCs w:val="24"/>
          <w:highlight w:val="none"/>
        </w:rPr>
        <w:t xml:space="preserve"> </w:t>
      </w:r>
      <w:r>
        <w:rPr>
          <w:rFonts w:ascii="宋体" w:hAnsi="宋体" w:eastAsia="宋体" w:cs="宋体"/>
          <w:color w:val="auto"/>
          <w:spacing w:val="-19"/>
          <w:sz w:val="24"/>
          <w:szCs w:val="24"/>
          <w:highlight w:val="none"/>
          <w:u w:val="single" w:color="auto"/>
        </w:rPr>
        <w:t xml:space="preserve">            </w:t>
      </w:r>
      <w:r>
        <w:rPr>
          <w:rFonts w:ascii="宋体" w:hAnsi="宋体" w:eastAsia="宋体" w:cs="宋体"/>
          <w:color w:val="auto"/>
          <w:spacing w:val="-19"/>
          <w:sz w:val="24"/>
          <w:szCs w:val="24"/>
          <w:highlight w:val="none"/>
        </w:rPr>
        <w:t>。</w:t>
      </w:r>
    </w:p>
    <w:p w14:paraId="752C977D">
      <w:pPr>
        <w:spacing w:before="183" w:line="465" w:lineRule="exact"/>
        <w:ind w:right="53"/>
        <w:jc w:val="center"/>
        <w:rPr>
          <w:rFonts w:ascii="宋体" w:hAnsi="宋体" w:eastAsia="宋体" w:cs="宋体"/>
          <w:color w:val="auto"/>
          <w:sz w:val="24"/>
          <w:szCs w:val="24"/>
          <w:highlight w:val="none"/>
        </w:rPr>
      </w:pPr>
      <w:r>
        <w:rPr>
          <w:rFonts w:ascii="宋体" w:hAnsi="宋体" w:eastAsia="宋体" w:cs="宋体"/>
          <w:color w:val="auto"/>
          <w:spacing w:val="-10"/>
          <w:position w:val="17"/>
          <w:sz w:val="24"/>
          <w:szCs w:val="24"/>
          <w:highlight w:val="none"/>
        </w:rPr>
        <w:t>（二）乙方及其工作人员违反本协议第一、三条规定。根据具体情节和造成的后果，</w:t>
      </w:r>
    </w:p>
    <w:p w14:paraId="290F1E76">
      <w:pPr>
        <w:spacing w:before="1" w:line="218" w:lineRule="auto"/>
        <w:ind w:left="3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甲方有权对乙方采取以下一种或多种处理办法：</w:t>
      </w:r>
    </w:p>
    <w:p w14:paraId="6F000F4B">
      <w:pPr>
        <w:spacing w:before="180" w:line="219" w:lineRule="auto"/>
        <w:ind w:left="483"/>
        <w:rPr>
          <w:rFonts w:ascii="宋体" w:hAnsi="宋体" w:eastAsia="宋体" w:cs="宋体"/>
          <w:color w:val="auto"/>
          <w:sz w:val="24"/>
          <w:szCs w:val="24"/>
          <w:highlight w:val="none"/>
        </w:rPr>
      </w:pPr>
      <w:r>
        <w:rPr>
          <w:rFonts w:hint="eastAsia" w:ascii="宋体" w:hAnsi="宋体" w:cs="宋体"/>
          <w:color w:val="auto"/>
          <w:spacing w:val="-5"/>
          <w:sz w:val="24"/>
          <w:szCs w:val="24"/>
          <w:highlight w:val="none"/>
          <w:lang w:val="en-US" w:eastAsia="zh-CN"/>
        </w:rPr>
        <w:t>1</w:t>
      </w:r>
      <w:r>
        <w:rPr>
          <w:rFonts w:ascii="宋体" w:hAnsi="宋体" w:eastAsia="宋体" w:cs="宋体"/>
          <w:color w:val="auto"/>
          <w:spacing w:val="-5"/>
          <w:sz w:val="24"/>
          <w:szCs w:val="24"/>
          <w:highlight w:val="none"/>
        </w:rPr>
        <w:t>. 追究乙方其他违约责任；</w:t>
      </w:r>
    </w:p>
    <w:p w14:paraId="03AB7D6A">
      <w:pPr>
        <w:spacing w:before="183" w:line="219" w:lineRule="auto"/>
        <w:ind w:left="485"/>
        <w:rPr>
          <w:rFonts w:ascii="宋体" w:hAnsi="宋体" w:eastAsia="宋体" w:cs="宋体"/>
          <w:color w:val="auto"/>
          <w:sz w:val="24"/>
          <w:szCs w:val="24"/>
          <w:highlight w:val="none"/>
        </w:rPr>
      </w:pPr>
      <w:r>
        <w:rPr>
          <w:rFonts w:hint="eastAsia" w:ascii="宋体" w:hAnsi="宋体" w:cs="宋体"/>
          <w:color w:val="auto"/>
          <w:spacing w:val="-3"/>
          <w:sz w:val="24"/>
          <w:szCs w:val="24"/>
          <w:highlight w:val="none"/>
          <w:lang w:val="en-US" w:eastAsia="zh-CN"/>
        </w:rPr>
        <w:t>2</w:t>
      </w:r>
      <w:r>
        <w:rPr>
          <w:rFonts w:ascii="宋体" w:hAnsi="宋体" w:eastAsia="宋体" w:cs="宋体"/>
          <w:color w:val="auto"/>
          <w:spacing w:val="-3"/>
          <w:sz w:val="24"/>
          <w:szCs w:val="24"/>
          <w:highlight w:val="none"/>
        </w:rPr>
        <w:t>. 终止或解除双方已签订的包括本合同在内的所有合同；</w:t>
      </w:r>
    </w:p>
    <w:p w14:paraId="32FB9727">
      <w:pPr>
        <w:spacing w:line="219" w:lineRule="auto"/>
        <w:rPr>
          <w:rFonts w:ascii="宋体" w:hAnsi="宋体" w:eastAsia="宋体" w:cs="宋体"/>
          <w:color w:val="auto"/>
          <w:sz w:val="24"/>
          <w:szCs w:val="24"/>
          <w:highlight w:val="none"/>
        </w:rPr>
        <w:sectPr>
          <w:footerReference r:id="rId10" w:type="default"/>
          <w:pgSz w:w="11907" w:h="16841"/>
          <w:pgMar w:top="1289" w:right="1415" w:bottom="1261" w:left="1427" w:header="0" w:footer="1085" w:gutter="0"/>
          <w:pgNumType w:fmt="decimal"/>
          <w:cols w:space="720" w:num="1"/>
        </w:sectPr>
      </w:pPr>
    </w:p>
    <w:p w14:paraId="77948DEE">
      <w:pPr>
        <w:spacing w:before="48" w:line="468" w:lineRule="exact"/>
        <w:jc w:val="center"/>
        <w:rPr>
          <w:rFonts w:ascii="宋体" w:hAnsi="宋体" w:eastAsia="宋体" w:cs="宋体"/>
          <w:color w:val="auto"/>
          <w:sz w:val="24"/>
          <w:szCs w:val="24"/>
          <w:highlight w:val="none"/>
        </w:rPr>
      </w:pPr>
      <w:r>
        <w:rPr>
          <w:rFonts w:hint="eastAsia" w:ascii="宋体" w:hAnsi="宋体" w:cs="宋体"/>
          <w:color w:val="auto"/>
          <w:spacing w:val="-10"/>
          <w:position w:val="17"/>
          <w:sz w:val="24"/>
          <w:szCs w:val="24"/>
          <w:highlight w:val="none"/>
          <w:lang w:val="en-US" w:eastAsia="zh-CN"/>
        </w:rPr>
        <w:t>3</w:t>
      </w:r>
      <w:r>
        <w:rPr>
          <w:rFonts w:ascii="宋体" w:hAnsi="宋体" w:eastAsia="宋体" w:cs="宋体"/>
          <w:color w:val="auto"/>
          <w:spacing w:val="-10"/>
          <w:position w:val="17"/>
          <w:sz w:val="24"/>
          <w:szCs w:val="24"/>
          <w:highlight w:val="none"/>
        </w:rPr>
        <w:t>.乙方一定期限内（6</w:t>
      </w:r>
      <w:r>
        <w:rPr>
          <w:rFonts w:ascii="宋体" w:hAnsi="宋体" w:eastAsia="宋体" w:cs="宋体"/>
          <w:color w:val="auto"/>
          <w:spacing w:val="-51"/>
          <w:position w:val="17"/>
          <w:sz w:val="24"/>
          <w:szCs w:val="24"/>
          <w:highlight w:val="none"/>
        </w:rPr>
        <w:t xml:space="preserve"> </w:t>
      </w:r>
      <w:r>
        <w:rPr>
          <w:rFonts w:ascii="宋体" w:hAnsi="宋体" w:eastAsia="宋体" w:cs="宋体"/>
          <w:color w:val="auto"/>
          <w:spacing w:val="-10"/>
          <w:position w:val="17"/>
          <w:sz w:val="24"/>
          <w:szCs w:val="24"/>
          <w:highlight w:val="none"/>
        </w:rPr>
        <w:t>个月至</w:t>
      </w:r>
      <w:r>
        <w:rPr>
          <w:rFonts w:ascii="宋体" w:hAnsi="宋体" w:eastAsia="宋体" w:cs="宋体"/>
          <w:color w:val="auto"/>
          <w:spacing w:val="-45"/>
          <w:position w:val="17"/>
          <w:sz w:val="24"/>
          <w:szCs w:val="24"/>
          <w:highlight w:val="none"/>
        </w:rPr>
        <w:t xml:space="preserve"> </w:t>
      </w:r>
      <w:r>
        <w:rPr>
          <w:rFonts w:ascii="宋体" w:hAnsi="宋体" w:eastAsia="宋体" w:cs="宋体"/>
          <w:color w:val="auto"/>
          <w:spacing w:val="-10"/>
          <w:position w:val="17"/>
          <w:sz w:val="24"/>
          <w:szCs w:val="24"/>
          <w:highlight w:val="none"/>
        </w:rPr>
        <w:t>3</w:t>
      </w:r>
      <w:r>
        <w:rPr>
          <w:rFonts w:ascii="宋体" w:hAnsi="宋体" w:eastAsia="宋体" w:cs="宋体"/>
          <w:color w:val="auto"/>
          <w:spacing w:val="-50"/>
          <w:position w:val="17"/>
          <w:sz w:val="24"/>
          <w:szCs w:val="24"/>
          <w:highlight w:val="none"/>
        </w:rPr>
        <w:t xml:space="preserve"> </w:t>
      </w:r>
      <w:r>
        <w:rPr>
          <w:rFonts w:ascii="宋体" w:hAnsi="宋体" w:eastAsia="宋体" w:cs="宋体"/>
          <w:color w:val="auto"/>
          <w:spacing w:val="-10"/>
          <w:position w:val="17"/>
          <w:sz w:val="24"/>
          <w:szCs w:val="24"/>
          <w:highlight w:val="none"/>
        </w:rPr>
        <w:t>年，</w:t>
      </w:r>
      <w:r>
        <w:rPr>
          <w:rFonts w:ascii="宋体" w:hAnsi="宋体" w:eastAsia="宋体" w:cs="宋体"/>
          <w:color w:val="auto"/>
          <w:spacing w:val="-60"/>
          <w:position w:val="17"/>
          <w:sz w:val="24"/>
          <w:szCs w:val="24"/>
          <w:highlight w:val="none"/>
        </w:rPr>
        <w:t xml:space="preserve"> </w:t>
      </w:r>
      <w:r>
        <w:rPr>
          <w:rFonts w:ascii="宋体" w:hAnsi="宋体" w:eastAsia="宋体" w:cs="宋体"/>
          <w:color w:val="auto"/>
          <w:spacing w:val="-10"/>
          <w:position w:val="17"/>
          <w:sz w:val="24"/>
          <w:szCs w:val="24"/>
          <w:highlight w:val="none"/>
        </w:rPr>
        <w:t>具体由甲方根据情况而定）不得参与甲方作为</w:t>
      </w:r>
    </w:p>
    <w:p w14:paraId="1D9FA0A7">
      <w:pPr>
        <w:spacing w:line="220" w:lineRule="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发包人（业主）的工程项目投标。</w:t>
      </w:r>
    </w:p>
    <w:p w14:paraId="5A11A9D8">
      <w:pPr>
        <w:spacing w:before="179" w:line="468" w:lineRule="exact"/>
        <w:ind w:firstLine="428" w:firstLineChars="200"/>
        <w:jc w:val="both"/>
        <w:rPr>
          <w:rFonts w:ascii="宋体" w:hAnsi="宋体" w:eastAsia="宋体" w:cs="宋体"/>
          <w:color w:val="auto"/>
          <w:sz w:val="24"/>
          <w:szCs w:val="24"/>
          <w:highlight w:val="none"/>
        </w:rPr>
      </w:pPr>
      <w:r>
        <w:rPr>
          <w:rFonts w:ascii="宋体" w:hAnsi="宋体" w:eastAsia="宋体" w:cs="宋体"/>
          <w:color w:val="auto"/>
          <w:spacing w:val="-13"/>
          <w:position w:val="17"/>
          <w:sz w:val="24"/>
          <w:szCs w:val="24"/>
          <w:highlight w:val="none"/>
        </w:rPr>
        <w:t>甲方</w:t>
      </w:r>
      <w:r>
        <w:rPr>
          <w:rFonts w:ascii="宋体" w:hAnsi="宋体" w:eastAsia="宋体" w:cs="宋体"/>
          <w:color w:val="auto"/>
          <w:spacing w:val="-12"/>
          <w:position w:val="17"/>
          <w:sz w:val="24"/>
          <w:szCs w:val="24"/>
          <w:highlight w:val="none"/>
        </w:rPr>
        <w:t>作出的处理意见，乙方应无条件接受并承担给甲方造成的损失，全额返还通</w:t>
      </w:r>
      <w:r>
        <w:rPr>
          <w:rFonts w:ascii="宋体" w:hAnsi="宋体" w:eastAsia="宋体" w:cs="宋体"/>
          <w:color w:val="auto"/>
          <w:spacing w:val="-10"/>
          <w:position w:val="17"/>
          <w:sz w:val="24"/>
          <w:szCs w:val="24"/>
          <w:highlight w:val="none"/>
        </w:rPr>
        <w:t>过</w:t>
      </w:r>
      <w:r>
        <w:rPr>
          <w:rFonts w:hint="eastAsia" w:ascii="宋体" w:hAnsi="宋体" w:eastAsia="宋体" w:cs="宋体"/>
          <w:color w:val="auto"/>
          <w:spacing w:val="-10"/>
          <w:position w:val="17"/>
          <w:sz w:val="24"/>
          <w:szCs w:val="24"/>
          <w:highlight w:val="none"/>
        </w:rPr>
        <w:t>不正当手段从甲方获取的非法所得，并承担相应的法律责任。</w:t>
      </w:r>
    </w:p>
    <w:p w14:paraId="229AD831">
      <w:pPr>
        <w:spacing w:before="179" w:line="220" w:lineRule="auto"/>
        <w:ind w:left="47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第五条 双方约定</w:t>
      </w:r>
    </w:p>
    <w:p w14:paraId="5817380B">
      <w:pPr>
        <w:spacing w:before="183" w:line="359" w:lineRule="auto"/>
        <w:ind w:left="1" w:right="1" w:firstLine="47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本协议由双方或双方上级单位负责监督。可由甲方或甲方上级单位的纪检监察部门</w:t>
      </w:r>
      <w:r>
        <w:rPr>
          <w:rFonts w:ascii="宋体" w:hAnsi="宋体" w:eastAsia="宋体" w:cs="宋体"/>
          <w:color w:val="auto"/>
          <w:spacing w:val="-5"/>
          <w:sz w:val="24"/>
          <w:szCs w:val="24"/>
          <w:highlight w:val="none"/>
        </w:rPr>
        <w:t>约请乙方或乙方上级单位的纪检监察部门对本协议履行情况进行检查， 提出在本协议规</w:t>
      </w:r>
    </w:p>
    <w:p w14:paraId="326909A9">
      <w:pPr>
        <w:spacing w:line="219" w:lineRule="auto"/>
        <w:ind w:left="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定范围内的裁定意见。</w:t>
      </w:r>
    </w:p>
    <w:p w14:paraId="1CCE68BD">
      <w:pPr>
        <w:spacing w:before="183" w:line="219" w:lineRule="auto"/>
        <w:ind w:left="47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第六条  本协议有效期为甲乙双方签署之日起至合同终止。</w:t>
      </w:r>
    </w:p>
    <w:p w14:paraId="5557AD58">
      <w:pPr>
        <w:spacing w:before="181" w:line="219" w:lineRule="auto"/>
        <w:ind w:left="47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第七条  本协议作为合同的附件，与本合同具有同等法律效力。</w:t>
      </w:r>
    </w:p>
    <w:p w14:paraId="06336692">
      <w:pPr>
        <w:spacing w:before="83"/>
        <w:rPr>
          <w:color w:val="auto"/>
          <w:highlight w:val="none"/>
        </w:rPr>
      </w:pPr>
    </w:p>
    <w:p w14:paraId="34344DF2">
      <w:pPr>
        <w:spacing w:before="83"/>
        <w:rPr>
          <w:color w:val="auto"/>
          <w:highlight w:val="none"/>
        </w:rPr>
      </w:pPr>
    </w:p>
    <w:tbl>
      <w:tblPr>
        <w:tblStyle w:val="132"/>
        <w:tblW w:w="8585" w:type="dxa"/>
        <w:tblInd w:w="47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815"/>
        <w:gridCol w:w="3770"/>
      </w:tblGrid>
      <w:tr w14:paraId="063043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92" w:hRule="atLeast"/>
        </w:trPr>
        <w:tc>
          <w:tcPr>
            <w:tcW w:w="4815" w:type="dxa"/>
            <w:noWrap w:val="0"/>
            <w:vAlign w:val="top"/>
          </w:tcPr>
          <w:p w14:paraId="02C1DED4">
            <w:pPr>
              <w:pStyle w:val="134"/>
              <w:spacing w:before="1" w:line="218" w:lineRule="auto"/>
              <w:ind w:left="31"/>
              <w:rPr>
                <w:color w:val="auto"/>
                <w:sz w:val="24"/>
                <w:szCs w:val="24"/>
                <w:highlight w:val="none"/>
              </w:rPr>
            </w:pPr>
            <w:r>
              <w:rPr>
                <w:color w:val="auto"/>
                <w:spacing w:val="-31"/>
                <w:sz w:val="24"/>
                <w:szCs w:val="24"/>
                <w:highlight w:val="none"/>
              </w:rPr>
              <w:t>甲方（盖章）：</w:t>
            </w:r>
            <w:r>
              <w:rPr>
                <w:color w:val="auto"/>
                <w:spacing w:val="27"/>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5DCE6F5F">
            <w:pPr>
              <w:pStyle w:val="134"/>
              <w:spacing w:before="1" w:line="218" w:lineRule="auto"/>
              <w:ind w:left="490"/>
              <w:rPr>
                <w:color w:val="auto"/>
                <w:sz w:val="24"/>
                <w:szCs w:val="24"/>
                <w:highlight w:val="none"/>
              </w:rPr>
            </w:pPr>
            <w:r>
              <w:rPr>
                <w:color w:val="auto"/>
                <w:spacing w:val="-30"/>
                <w:sz w:val="24"/>
                <w:szCs w:val="24"/>
                <w:highlight w:val="none"/>
              </w:rPr>
              <w:t>乙方（盖章）：</w:t>
            </w:r>
            <w:r>
              <w:rPr>
                <w:color w:val="auto"/>
                <w:spacing w:val="56"/>
                <w:sz w:val="24"/>
                <w:szCs w:val="24"/>
                <w:highlight w:val="none"/>
              </w:rPr>
              <w:t xml:space="preserve"> </w:t>
            </w:r>
            <w:r>
              <w:rPr>
                <w:color w:val="auto"/>
                <w:sz w:val="24"/>
                <w:szCs w:val="24"/>
                <w:highlight w:val="none"/>
                <w:u w:val="single" w:color="auto"/>
              </w:rPr>
              <w:t xml:space="preserve">              </w:t>
            </w:r>
          </w:p>
        </w:tc>
      </w:tr>
      <w:tr w14:paraId="6E6BAC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95" w:hRule="atLeast"/>
        </w:trPr>
        <w:tc>
          <w:tcPr>
            <w:tcW w:w="4815" w:type="dxa"/>
            <w:noWrap w:val="0"/>
            <w:vAlign w:val="top"/>
          </w:tcPr>
          <w:p w14:paraId="27E783B7">
            <w:pPr>
              <w:spacing w:line="261" w:lineRule="auto"/>
              <w:rPr>
                <w:rFonts w:ascii="Arial"/>
                <w:color w:val="auto"/>
                <w:sz w:val="21"/>
                <w:highlight w:val="none"/>
              </w:rPr>
            </w:pPr>
          </w:p>
          <w:p w14:paraId="7EDEE529">
            <w:pPr>
              <w:pStyle w:val="134"/>
              <w:spacing w:before="78" w:line="220" w:lineRule="auto"/>
              <w:ind w:left="1"/>
              <w:rPr>
                <w:color w:val="auto"/>
                <w:sz w:val="24"/>
                <w:szCs w:val="24"/>
                <w:highlight w:val="none"/>
              </w:rPr>
            </w:pPr>
            <w:r>
              <w:rPr>
                <w:color w:val="auto"/>
                <w:spacing w:val="-2"/>
                <w:sz w:val="24"/>
                <w:szCs w:val="24"/>
                <w:highlight w:val="none"/>
              </w:rPr>
              <w:t>法定代表人或</w:t>
            </w:r>
          </w:p>
        </w:tc>
        <w:tc>
          <w:tcPr>
            <w:tcW w:w="3770" w:type="dxa"/>
            <w:noWrap w:val="0"/>
            <w:vAlign w:val="top"/>
          </w:tcPr>
          <w:p w14:paraId="28F3027F">
            <w:pPr>
              <w:spacing w:line="261" w:lineRule="auto"/>
              <w:rPr>
                <w:rFonts w:ascii="Arial"/>
                <w:color w:val="auto"/>
                <w:sz w:val="21"/>
                <w:highlight w:val="none"/>
              </w:rPr>
            </w:pPr>
          </w:p>
          <w:p w14:paraId="6D5D2F2C">
            <w:pPr>
              <w:pStyle w:val="134"/>
              <w:spacing w:before="78" w:line="220" w:lineRule="auto"/>
              <w:ind w:left="467"/>
              <w:rPr>
                <w:color w:val="auto"/>
                <w:sz w:val="24"/>
                <w:szCs w:val="24"/>
                <w:highlight w:val="none"/>
              </w:rPr>
            </w:pPr>
            <w:r>
              <w:rPr>
                <w:color w:val="auto"/>
                <w:spacing w:val="-2"/>
                <w:sz w:val="24"/>
                <w:szCs w:val="24"/>
                <w:highlight w:val="none"/>
              </w:rPr>
              <w:t>法定代表人或</w:t>
            </w:r>
          </w:p>
        </w:tc>
      </w:tr>
      <w:tr w14:paraId="0E068F3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3" w:hRule="atLeast"/>
        </w:trPr>
        <w:tc>
          <w:tcPr>
            <w:tcW w:w="4815" w:type="dxa"/>
            <w:noWrap w:val="0"/>
            <w:vAlign w:val="top"/>
          </w:tcPr>
          <w:p w14:paraId="2E6B25FD">
            <w:pPr>
              <w:pStyle w:val="134"/>
              <w:spacing w:before="113" w:line="220" w:lineRule="auto"/>
              <w:rPr>
                <w:color w:val="auto"/>
                <w:sz w:val="24"/>
                <w:szCs w:val="24"/>
                <w:highlight w:val="none"/>
              </w:rPr>
            </w:pPr>
            <w:r>
              <w:rPr>
                <w:color w:val="auto"/>
                <w:spacing w:val="-23"/>
                <w:sz w:val="24"/>
                <w:szCs w:val="24"/>
                <w:highlight w:val="none"/>
              </w:rPr>
              <w:t>授权代表：</w:t>
            </w:r>
            <w:r>
              <w:rPr>
                <w:color w:val="auto"/>
                <w:spacing w:val="-59"/>
                <w:sz w:val="24"/>
                <w:szCs w:val="24"/>
                <w:highlight w:val="none"/>
              </w:rPr>
              <w:t xml:space="preserve"> </w:t>
            </w:r>
            <w:r>
              <w:rPr>
                <w:color w:val="auto"/>
                <w:sz w:val="24"/>
                <w:szCs w:val="24"/>
                <w:highlight w:val="none"/>
                <w:u w:val="single" w:color="auto"/>
              </w:rPr>
              <w:t xml:space="preserve">              </w:t>
            </w:r>
            <w:r>
              <w:rPr>
                <w:color w:val="auto"/>
                <w:spacing w:val="-67"/>
                <w:sz w:val="24"/>
                <w:szCs w:val="24"/>
                <w:highlight w:val="none"/>
              </w:rPr>
              <w:t xml:space="preserve"> </w:t>
            </w:r>
            <w:r>
              <w:rPr>
                <w:color w:val="auto"/>
                <w:spacing w:val="-23"/>
                <w:sz w:val="24"/>
                <w:szCs w:val="24"/>
                <w:highlight w:val="none"/>
              </w:rPr>
              <w:t>(职务)</w:t>
            </w:r>
          </w:p>
        </w:tc>
        <w:tc>
          <w:tcPr>
            <w:tcW w:w="3770" w:type="dxa"/>
            <w:noWrap w:val="0"/>
            <w:vAlign w:val="top"/>
          </w:tcPr>
          <w:p w14:paraId="3B053EB6">
            <w:pPr>
              <w:pStyle w:val="134"/>
              <w:spacing w:before="113" w:line="220" w:lineRule="auto"/>
              <w:jc w:val="right"/>
              <w:rPr>
                <w:color w:val="auto"/>
                <w:sz w:val="24"/>
                <w:szCs w:val="24"/>
                <w:highlight w:val="none"/>
              </w:rPr>
            </w:pPr>
            <w:r>
              <w:rPr>
                <w:color w:val="auto"/>
                <w:spacing w:val="-23"/>
                <w:sz w:val="24"/>
                <w:szCs w:val="24"/>
                <w:highlight w:val="none"/>
              </w:rPr>
              <w:t>授权代表：</w:t>
            </w:r>
            <w:r>
              <w:rPr>
                <w:color w:val="auto"/>
                <w:spacing w:val="-59"/>
                <w:sz w:val="24"/>
                <w:szCs w:val="24"/>
                <w:highlight w:val="none"/>
              </w:rPr>
              <w:t xml:space="preserve"> </w:t>
            </w:r>
            <w:r>
              <w:rPr>
                <w:color w:val="auto"/>
                <w:sz w:val="24"/>
                <w:szCs w:val="24"/>
                <w:highlight w:val="none"/>
                <w:u w:val="single" w:color="auto"/>
              </w:rPr>
              <w:t xml:space="preserve">             </w:t>
            </w:r>
            <w:r>
              <w:rPr>
                <w:color w:val="auto"/>
                <w:spacing w:val="-67"/>
                <w:sz w:val="24"/>
                <w:szCs w:val="24"/>
                <w:highlight w:val="none"/>
              </w:rPr>
              <w:t xml:space="preserve"> </w:t>
            </w:r>
            <w:r>
              <w:rPr>
                <w:color w:val="auto"/>
                <w:spacing w:val="-23"/>
                <w:sz w:val="24"/>
                <w:szCs w:val="24"/>
                <w:highlight w:val="none"/>
              </w:rPr>
              <w:t>(职务)</w:t>
            </w:r>
          </w:p>
        </w:tc>
      </w:tr>
      <w:tr w14:paraId="7C6E7E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4815" w:type="dxa"/>
            <w:noWrap w:val="0"/>
            <w:vAlign w:val="top"/>
          </w:tcPr>
          <w:p w14:paraId="0D147115">
            <w:pPr>
              <w:pStyle w:val="134"/>
              <w:spacing w:before="106" w:line="220" w:lineRule="auto"/>
              <w:rPr>
                <w:color w:val="auto"/>
                <w:sz w:val="24"/>
                <w:szCs w:val="24"/>
                <w:highlight w:val="none"/>
              </w:rPr>
            </w:pPr>
            <w:r>
              <w:rPr>
                <w:color w:val="auto"/>
                <w:spacing w:val="-32"/>
                <w:w w:val="96"/>
                <w:sz w:val="24"/>
                <w:szCs w:val="24"/>
                <w:highlight w:val="none"/>
              </w:rPr>
              <w:t>姓名：</w:t>
            </w:r>
            <w:r>
              <w:rPr>
                <w:color w:val="auto"/>
                <w:spacing w:val="-6"/>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491B7E72">
            <w:pPr>
              <w:pStyle w:val="134"/>
              <w:spacing w:before="106" w:line="220" w:lineRule="auto"/>
              <w:ind w:left="466"/>
              <w:rPr>
                <w:color w:val="auto"/>
                <w:sz w:val="24"/>
                <w:szCs w:val="24"/>
                <w:highlight w:val="none"/>
              </w:rPr>
            </w:pPr>
            <w:r>
              <w:rPr>
                <w:color w:val="auto"/>
                <w:spacing w:val="-32"/>
                <w:w w:val="96"/>
                <w:sz w:val="24"/>
                <w:szCs w:val="24"/>
                <w:highlight w:val="none"/>
              </w:rPr>
              <w:t>姓名：</w:t>
            </w:r>
            <w:r>
              <w:rPr>
                <w:color w:val="auto"/>
                <w:spacing w:val="-6"/>
                <w:sz w:val="24"/>
                <w:szCs w:val="24"/>
                <w:highlight w:val="none"/>
              </w:rPr>
              <w:t xml:space="preserve"> </w:t>
            </w:r>
            <w:r>
              <w:rPr>
                <w:color w:val="auto"/>
                <w:sz w:val="24"/>
                <w:szCs w:val="24"/>
                <w:highlight w:val="none"/>
                <w:u w:val="single" w:color="auto"/>
              </w:rPr>
              <w:t xml:space="preserve">              </w:t>
            </w:r>
          </w:p>
        </w:tc>
      </w:tr>
      <w:tr w14:paraId="076534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01" w:hRule="atLeast"/>
        </w:trPr>
        <w:tc>
          <w:tcPr>
            <w:tcW w:w="4815" w:type="dxa"/>
            <w:noWrap w:val="0"/>
            <w:vAlign w:val="top"/>
          </w:tcPr>
          <w:p w14:paraId="754C6157">
            <w:pPr>
              <w:pStyle w:val="134"/>
              <w:spacing w:before="107" w:line="220" w:lineRule="auto"/>
              <w:rPr>
                <w:color w:val="auto"/>
                <w:sz w:val="24"/>
                <w:szCs w:val="24"/>
                <w:highlight w:val="none"/>
              </w:rPr>
            </w:pPr>
            <w:r>
              <w:rPr>
                <w:color w:val="auto"/>
                <w:spacing w:val="-31"/>
                <w:w w:val="95"/>
                <w:sz w:val="24"/>
                <w:szCs w:val="24"/>
                <w:highlight w:val="none"/>
              </w:rPr>
              <w:t>签字：</w:t>
            </w:r>
            <w:r>
              <w:rPr>
                <w:color w:val="auto"/>
                <w:spacing w:val="-2"/>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74D22E58">
            <w:pPr>
              <w:pStyle w:val="134"/>
              <w:spacing w:before="107" w:line="220" w:lineRule="auto"/>
              <w:ind w:left="466"/>
              <w:rPr>
                <w:color w:val="auto"/>
                <w:sz w:val="24"/>
                <w:szCs w:val="24"/>
                <w:highlight w:val="none"/>
              </w:rPr>
            </w:pPr>
            <w:r>
              <w:rPr>
                <w:color w:val="auto"/>
                <w:spacing w:val="-31"/>
                <w:w w:val="95"/>
                <w:sz w:val="24"/>
                <w:szCs w:val="24"/>
                <w:highlight w:val="none"/>
              </w:rPr>
              <w:t>签字：</w:t>
            </w:r>
            <w:r>
              <w:rPr>
                <w:color w:val="auto"/>
                <w:spacing w:val="-2"/>
                <w:sz w:val="24"/>
                <w:szCs w:val="24"/>
                <w:highlight w:val="none"/>
              </w:rPr>
              <w:t xml:space="preserve"> </w:t>
            </w:r>
            <w:r>
              <w:rPr>
                <w:color w:val="auto"/>
                <w:sz w:val="24"/>
                <w:szCs w:val="24"/>
                <w:highlight w:val="none"/>
                <w:u w:val="single" w:color="auto"/>
              </w:rPr>
              <w:t xml:space="preserve">              </w:t>
            </w:r>
          </w:p>
        </w:tc>
      </w:tr>
      <w:tr w14:paraId="430403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94" w:hRule="atLeast"/>
        </w:trPr>
        <w:tc>
          <w:tcPr>
            <w:tcW w:w="4815" w:type="dxa"/>
            <w:noWrap w:val="0"/>
            <w:vAlign w:val="top"/>
          </w:tcPr>
          <w:p w14:paraId="58F55287">
            <w:pPr>
              <w:spacing w:line="260" w:lineRule="auto"/>
              <w:rPr>
                <w:rFonts w:ascii="Arial"/>
                <w:color w:val="auto"/>
                <w:sz w:val="21"/>
                <w:highlight w:val="none"/>
              </w:rPr>
            </w:pPr>
          </w:p>
          <w:p w14:paraId="24EAD11E">
            <w:pPr>
              <w:pStyle w:val="134"/>
              <w:spacing w:before="78" w:line="220" w:lineRule="auto"/>
              <w:rPr>
                <w:color w:val="auto"/>
                <w:sz w:val="24"/>
                <w:szCs w:val="24"/>
                <w:highlight w:val="none"/>
              </w:rPr>
            </w:pPr>
            <w:r>
              <w:rPr>
                <w:color w:val="auto"/>
                <w:spacing w:val="-2"/>
                <w:sz w:val="24"/>
                <w:szCs w:val="24"/>
                <w:highlight w:val="none"/>
              </w:rPr>
              <w:t>廉政监督联系人</w:t>
            </w:r>
          </w:p>
        </w:tc>
        <w:tc>
          <w:tcPr>
            <w:tcW w:w="3770" w:type="dxa"/>
            <w:noWrap w:val="0"/>
            <w:vAlign w:val="top"/>
          </w:tcPr>
          <w:p w14:paraId="015CBC9D">
            <w:pPr>
              <w:spacing w:line="260" w:lineRule="auto"/>
              <w:rPr>
                <w:rFonts w:ascii="Arial"/>
                <w:color w:val="auto"/>
                <w:sz w:val="21"/>
                <w:highlight w:val="none"/>
              </w:rPr>
            </w:pPr>
          </w:p>
          <w:p w14:paraId="386FEFD9">
            <w:pPr>
              <w:pStyle w:val="134"/>
              <w:spacing w:before="78" w:line="220" w:lineRule="auto"/>
              <w:ind w:left="465"/>
              <w:rPr>
                <w:color w:val="auto"/>
                <w:sz w:val="24"/>
                <w:szCs w:val="24"/>
                <w:highlight w:val="none"/>
              </w:rPr>
            </w:pPr>
            <w:r>
              <w:rPr>
                <w:color w:val="auto"/>
                <w:spacing w:val="-2"/>
                <w:sz w:val="24"/>
                <w:szCs w:val="24"/>
                <w:highlight w:val="none"/>
              </w:rPr>
              <w:t>廉政监督联系人</w:t>
            </w:r>
          </w:p>
        </w:tc>
      </w:tr>
      <w:tr w14:paraId="5804199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2" w:hRule="atLeast"/>
        </w:trPr>
        <w:tc>
          <w:tcPr>
            <w:tcW w:w="4815" w:type="dxa"/>
            <w:noWrap w:val="0"/>
            <w:vAlign w:val="top"/>
          </w:tcPr>
          <w:p w14:paraId="4EF8EC5B">
            <w:pPr>
              <w:pStyle w:val="134"/>
              <w:spacing w:before="112" w:line="220" w:lineRule="auto"/>
              <w:rPr>
                <w:color w:val="auto"/>
                <w:sz w:val="24"/>
                <w:szCs w:val="24"/>
                <w:highlight w:val="none"/>
              </w:rPr>
            </w:pPr>
            <w:r>
              <w:rPr>
                <w:color w:val="auto"/>
                <w:spacing w:val="-32"/>
                <w:w w:val="96"/>
                <w:sz w:val="24"/>
                <w:szCs w:val="24"/>
                <w:highlight w:val="none"/>
              </w:rPr>
              <w:t>姓名：</w:t>
            </w:r>
            <w:r>
              <w:rPr>
                <w:color w:val="auto"/>
                <w:spacing w:val="-6"/>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710DADB4">
            <w:pPr>
              <w:pStyle w:val="134"/>
              <w:spacing w:before="112" w:line="220" w:lineRule="auto"/>
              <w:ind w:left="466"/>
              <w:rPr>
                <w:color w:val="auto"/>
                <w:sz w:val="24"/>
                <w:szCs w:val="24"/>
                <w:highlight w:val="none"/>
              </w:rPr>
            </w:pPr>
            <w:r>
              <w:rPr>
                <w:color w:val="auto"/>
                <w:spacing w:val="-32"/>
                <w:w w:val="96"/>
                <w:sz w:val="24"/>
                <w:szCs w:val="24"/>
                <w:highlight w:val="none"/>
              </w:rPr>
              <w:t>姓名：</w:t>
            </w:r>
            <w:r>
              <w:rPr>
                <w:color w:val="auto"/>
                <w:spacing w:val="-6"/>
                <w:sz w:val="24"/>
                <w:szCs w:val="24"/>
                <w:highlight w:val="none"/>
              </w:rPr>
              <w:t xml:space="preserve"> </w:t>
            </w:r>
            <w:r>
              <w:rPr>
                <w:color w:val="auto"/>
                <w:sz w:val="24"/>
                <w:szCs w:val="24"/>
                <w:highlight w:val="none"/>
                <w:u w:val="single" w:color="auto"/>
              </w:rPr>
              <w:t xml:space="preserve">                      </w:t>
            </w:r>
          </w:p>
        </w:tc>
      </w:tr>
      <w:tr w14:paraId="617545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4815" w:type="dxa"/>
            <w:noWrap w:val="0"/>
            <w:vAlign w:val="top"/>
          </w:tcPr>
          <w:p w14:paraId="680053C4">
            <w:pPr>
              <w:pStyle w:val="134"/>
              <w:spacing w:before="108" w:line="220" w:lineRule="auto"/>
              <w:rPr>
                <w:color w:val="auto"/>
                <w:sz w:val="24"/>
                <w:szCs w:val="24"/>
                <w:highlight w:val="none"/>
              </w:rPr>
            </w:pPr>
            <w:r>
              <w:rPr>
                <w:color w:val="auto"/>
                <w:spacing w:val="-31"/>
                <w:w w:val="95"/>
                <w:sz w:val="24"/>
                <w:szCs w:val="24"/>
                <w:highlight w:val="none"/>
              </w:rPr>
              <w:t>签字：</w:t>
            </w:r>
            <w:r>
              <w:rPr>
                <w:color w:val="auto"/>
                <w:spacing w:val="-2"/>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06D44EDB">
            <w:pPr>
              <w:pStyle w:val="134"/>
              <w:spacing w:before="108" w:line="220" w:lineRule="auto"/>
              <w:ind w:left="466"/>
              <w:rPr>
                <w:color w:val="auto"/>
                <w:sz w:val="24"/>
                <w:szCs w:val="24"/>
                <w:highlight w:val="none"/>
              </w:rPr>
            </w:pPr>
            <w:r>
              <w:rPr>
                <w:color w:val="auto"/>
                <w:spacing w:val="-33"/>
                <w:sz w:val="24"/>
                <w:szCs w:val="24"/>
                <w:highlight w:val="none"/>
              </w:rPr>
              <w:t>签字：</w:t>
            </w:r>
            <w:r>
              <w:rPr>
                <w:color w:val="auto"/>
                <w:spacing w:val="-32"/>
                <w:sz w:val="24"/>
                <w:szCs w:val="24"/>
                <w:highlight w:val="none"/>
              </w:rPr>
              <w:t xml:space="preserve"> </w:t>
            </w:r>
            <w:r>
              <w:rPr>
                <w:color w:val="auto"/>
                <w:sz w:val="24"/>
                <w:szCs w:val="24"/>
                <w:highlight w:val="none"/>
                <w:u w:val="single" w:color="auto"/>
              </w:rPr>
              <w:t xml:space="preserve">                      </w:t>
            </w:r>
          </w:p>
        </w:tc>
      </w:tr>
      <w:tr w14:paraId="711163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7" w:hRule="atLeast"/>
        </w:trPr>
        <w:tc>
          <w:tcPr>
            <w:tcW w:w="4815" w:type="dxa"/>
            <w:noWrap w:val="0"/>
            <w:vAlign w:val="top"/>
          </w:tcPr>
          <w:p w14:paraId="65EBBB4A">
            <w:pPr>
              <w:pStyle w:val="134"/>
              <w:spacing w:before="106" w:line="222" w:lineRule="auto"/>
              <w:ind w:left="29"/>
              <w:rPr>
                <w:color w:val="auto"/>
                <w:sz w:val="24"/>
                <w:szCs w:val="24"/>
                <w:highlight w:val="none"/>
              </w:rPr>
            </w:pPr>
            <w:r>
              <w:rPr>
                <w:color w:val="auto"/>
                <w:spacing w:val="-32"/>
                <w:w w:val="93"/>
                <w:sz w:val="24"/>
                <w:szCs w:val="24"/>
                <w:highlight w:val="none"/>
              </w:rPr>
              <w:t>电话：</w:t>
            </w:r>
            <w:r>
              <w:rPr>
                <w:color w:val="auto"/>
                <w:spacing w:val="-13"/>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4A3EF253">
            <w:pPr>
              <w:pStyle w:val="134"/>
              <w:spacing w:before="106" w:line="222" w:lineRule="auto"/>
              <w:ind w:left="494"/>
              <w:rPr>
                <w:color w:val="auto"/>
                <w:sz w:val="24"/>
                <w:szCs w:val="24"/>
                <w:highlight w:val="none"/>
              </w:rPr>
            </w:pPr>
            <w:r>
              <w:rPr>
                <w:color w:val="auto"/>
                <w:spacing w:val="-32"/>
                <w:w w:val="93"/>
                <w:sz w:val="24"/>
                <w:szCs w:val="24"/>
                <w:highlight w:val="none"/>
              </w:rPr>
              <w:t>电话：</w:t>
            </w:r>
            <w:r>
              <w:rPr>
                <w:color w:val="auto"/>
                <w:spacing w:val="-13"/>
                <w:sz w:val="24"/>
                <w:szCs w:val="24"/>
                <w:highlight w:val="none"/>
              </w:rPr>
              <w:t xml:space="preserve"> </w:t>
            </w:r>
            <w:r>
              <w:rPr>
                <w:color w:val="auto"/>
                <w:sz w:val="24"/>
                <w:szCs w:val="24"/>
                <w:highlight w:val="none"/>
                <w:u w:val="single" w:color="auto"/>
              </w:rPr>
              <w:t xml:space="preserve">                      </w:t>
            </w:r>
          </w:p>
        </w:tc>
      </w:tr>
      <w:tr w14:paraId="389D5C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8" w:hRule="atLeast"/>
        </w:trPr>
        <w:tc>
          <w:tcPr>
            <w:tcW w:w="4815" w:type="dxa"/>
            <w:noWrap w:val="0"/>
            <w:vAlign w:val="top"/>
          </w:tcPr>
          <w:p w14:paraId="2445E510">
            <w:pPr>
              <w:pStyle w:val="134"/>
              <w:spacing w:before="108" w:line="229" w:lineRule="auto"/>
              <w:rPr>
                <w:color w:val="auto"/>
                <w:sz w:val="24"/>
                <w:szCs w:val="24"/>
                <w:highlight w:val="none"/>
              </w:rPr>
            </w:pPr>
            <w:r>
              <w:rPr>
                <w:color w:val="auto"/>
                <w:spacing w:val="-31"/>
                <w:w w:val="95"/>
                <w:sz w:val="24"/>
                <w:szCs w:val="24"/>
                <w:highlight w:val="none"/>
              </w:rPr>
              <w:t>地址：</w:t>
            </w:r>
            <w:r>
              <w:rPr>
                <w:color w:val="auto"/>
                <w:spacing w:val="-2"/>
                <w:sz w:val="24"/>
                <w:szCs w:val="24"/>
                <w:highlight w:val="none"/>
              </w:rPr>
              <w:t xml:space="preserve"> </w:t>
            </w:r>
            <w:r>
              <w:rPr>
                <w:color w:val="auto"/>
                <w:sz w:val="24"/>
                <w:szCs w:val="24"/>
                <w:highlight w:val="none"/>
                <w:u w:val="single" w:color="auto"/>
              </w:rPr>
              <w:t xml:space="preserve">                        </w:t>
            </w:r>
          </w:p>
        </w:tc>
        <w:tc>
          <w:tcPr>
            <w:tcW w:w="3770" w:type="dxa"/>
            <w:noWrap w:val="0"/>
            <w:vAlign w:val="top"/>
          </w:tcPr>
          <w:p w14:paraId="1A3A80D4">
            <w:pPr>
              <w:pStyle w:val="134"/>
              <w:spacing w:before="108" w:line="229" w:lineRule="auto"/>
              <w:ind w:left="466"/>
              <w:rPr>
                <w:color w:val="auto"/>
                <w:sz w:val="24"/>
                <w:szCs w:val="24"/>
                <w:highlight w:val="none"/>
              </w:rPr>
            </w:pPr>
            <w:r>
              <w:rPr>
                <w:color w:val="auto"/>
                <w:spacing w:val="-31"/>
                <w:w w:val="95"/>
                <w:sz w:val="24"/>
                <w:szCs w:val="24"/>
                <w:highlight w:val="none"/>
              </w:rPr>
              <w:t>地址：</w:t>
            </w:r>
            <w:r>
              <w:rPr>
                <w:color w:val="auto"/>
                <w:spacing w:val="-2"/>
                <w:sz w:val="24"/>
                <w:szCs w:val="24"/>
                <w:highlight w:val="none"/>
              </w:rPr>
              <w:t xml:space="preserve"> </w:t>
            </w:r>
            <w:r>
              <w:rPr>
                <w:color w:val="auto"/>
                <w:sz w:val="24"/>
                <w:szCs w:val="24"/>
                <w:highlight w:val="none"/>
                <w:u w:val="single" w:color="auto"/>
              </w:rPr>
              <w:t xml:space="preserve">                      </w:t>
            </w:r>
          </w:p>
        </w:tc>
      </w:tr>
      <w:tr w14:paraId="09D5D9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0" w:hRule="atLeast"/>
        </w:trPr>
        <w:tc>
          <w:tcPr>
            <w:tcW w:w="4815" w:type="dxa"/>
            <w:noWrap w:val="0"/>
            <w:vAlign w:val="top"/>
          </w:tcPr>
          <w:p w14:paraId="57C4D2CE">
            <w:pPr>
              <w:pStyle w:val="134"/>
              <w:spacing w:before="109" w:line="185" w:lineRule="auto"/>
              <w:ind w:left="42"/>
              <w:rPr>
                <w:color w:val="auto"/>
                <w:sz w:val="24"/>
                <w:szCs w:val="24"/>
                <w:highlight w:val="none"/>
              </w:rPr>
            </w:pPr>
            <w:r>
              <w:rPr>
                <w:color w:val="auto"/>
                <w:spacing w:val="-43"/>
                <w:sz w:val="24"/>
                <w:szCs w:val="24"/>
                <w:highlight w:val="none"/>
              </w:rPr>
              <w:t xml:space="preserve">日期： </w:t>
            </w:r>
            <w:r>
              <w:rPr>
                <w:color w:val="auto"/>
                <w:sz w:val="24"/>
                <w:szCs w:val="24"/>
                <w:highlight w:val="none"/>
                <w:u w:val="single" w:color="auto"/>
              </w:rPr>
              <w:t xml:space="preserve">                        </w:t>
            </w:r>
          </w:p>
        </w:tc>
        <w:tc>
          <w:tcPr>
            <w:tcW w:w="3770" w:type="dxa"/>
            <w:noWrap w:val="0"/>
            <w:vAlign w:val="top"/>
          </w:tcPr>
          <w:p w14:paraId="7FF0A592">
            <w:pPr>
              <w:pStyle w:val="134"/>
              <w:spacing w:before="109" w:line="185" w:lineRule="auto"/>
              <w:ind w:left="508"/>
              <w:rPr>
                <w:color w:val="auto"/>
                <w:sz w:val="24"/>
                <w:szCs w:val="24"/>
                <w:highlight w:val="none"/>
              </w:rPr>
            </w:pPr>
            <w:r>
              <w:rPr>
                <w:color w:val="auto"/>
                <w:spacing w:val="-43"/>
                <w:sz w:val="24"/>
                <w:szCs w:val="24"/>
                <w:highlight w:val="none"/>
              </w:rPr>
              <w:t xml:space="preserve">日期： </w:t>
            </w:r>
            <w:r>
              <w:rPr>
                <w:color w:val="auto"/>
                <w:sz w:val="24"/>
                <w:szCs w:val="24"/>
                <w:highlight w:val="none"/>
                <w:u w:val="single" w:color="auto"/>
              </w:rPr>
              <w:t xml:space="preserve">                      </w:t>
            </w:r>
          </w:p>
        </w:tc>
      </w:tr>
    </w:tbl>
    <w:p w14:paraId="38268E2A">
      <w:pPr>
        <w:pStyle w:val="13"/>
        <w:rPr>
          <w:rFonts w:hint="eastAsia"/>
          <w:color w:val="auto"/>
          <w:highlight w:val="none"/>
        </w:rPr>
      </w:pPr>
    </w:p>
    <w:p w14:paraId="26BFCE82">
      <w:pPr>
        <w:pStyle w:val="13"/>
        <w:rPr>
          <w:rFonts w:hint="eastAsia"/>
          <w:color w:val="auto"/>
          <w:highlight w:val="none"/>
        </w:rPr>
      </w:pPr>
    </w:p>
    <w:p w14:paraId="206B4758">
      <w:pPr>
        <w:pStyle w:val="13"/>
        <w:rPr>
          <w:rFonts w:hint="eastAsia"/>
          <w:color w:val="auto"/>
          <w:highlight w:val="none"/>
        </w:rPr>
      </w:pPr>
    </w:p>
    <w:p w14:paraId="4BBC177A">
      <w:pPr>
        <w:pStyle w:val="13"/>
        <w:rPr>
          <w:rFonts w:hint="eastAsia"/>
          <w:color w:val="auto"/>
          <w:highlight w:val="none"/>
        </w:rPr>
      </w:pPr>
    </w:p>
    <w:p w14:paraId="10FEB611">
      <w:pPr>
        <w:pStyle w:val="13"/>
        <w:rPr>
          <w:rFonts w:hint="eastAsia"/>
          <w:color w:val="auto"/>
          <w:highlight w:val="none"/>
        </w:rPr>
      </w:pPr>
    </w:p>
    <w:p w14:paraId="3F0FEA2A">
      <w:pPr>
        <w:pStyle w:val="13"/>
        <w:rPr>
          <w:rFonts w:hint="eastAsia"/>
          <w:color w:val="auto"/>
          <w:highlight w:val="none"/>
        </w:rPr>
      </w:pPr>
    </w:p>
    <w:p w14:paraId="4EDE292B">
      <w:pP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第五章  投标文件格式</w:t>
      </w:r>
      <w:bookmarkEnd w:id="45"/>
      <w:bookmarkEnd w:id="63"/>
    </w:p>
    <w:p w14:paraId="6EE8652F">
      <w:pPr>
        <w:rPr>
          <w:rFonts w:ascii="仿宋" w:hAnsi="仿宋" w:eastAsia="仿宋" w:cs="仿宋"/>
          <w:color w:val="auto"/>
          <w:kern w:val="2"/>
          <w:sz w:val="21"/>
          <w:szCs w:val="21"/>
          <w:highlight w:val="none"/>
        </w:rPr>
      </w:pPr>
    </w:p>
    <w:p w14:paraId="14596888">
      <w:pPr>
        <w:pStyle w:val="31"/>
        <w:spacing w:beforeLines="20" w:afterLines="20" w:line="360"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一、资 格 审 查 文 件</w:t>
      </w:r>
    </w:p>
    <w:p w14:paraId="339C6E05">
      <w:pPr>
        <w:rPr>
          <w:rFonts w:ascii="仿宋" w:hAnsi="仿宋" w:eastAsia="仿宋" w:cs="仿宋"/>
          <w:color w:val="auto"/>
          <w:highlight w:val="none"/>
        </w:rPr>
      </w:pPr>
    </w:p>
    <w:p w14:paraId="2AA9CC3B">
      <w:pPr>
        <w:spacing w:beforeLines="20" w:afterLines="20" w:line="360" w:lineRule="auto"/>
        <w:rPr>
          <w:rFonts w:ascii="仿宋" w:hAnsi="仿宋" w:eastAsia="仿宋" w:cs="仿宋"/>
          <w:color w:val="auto"/>
          <w:highlight w:val="none"/>
        </w:rPr>
      </w:pPr>
    </w:p>
    <w:p w14:paraId="1D02F2E5">
      <w:pPr>
        <w:spacing w:beforeLines="20" w:afterLines="20" w:line="360" w:lineRule="auto"/>
        <w:ind w:firstLine="2247" w:firstLineChars="746"/>
        <w:rPr>
          <w:rFonts w:ascii="仿宋" w:hAnsi="仿宋" w:eastAsia="仿宋" w:cs="仿宋"/>
          <w:b/>
          <w:color w:val="auto"/>
          <w:sz w:val="30"/>
          <w:szCs w:val="30"/>
          <w:highlight w:val="none"/>
          <w:u w:val="single"/>
        </w:rPr>
      </w:pPr>
      <w:r>
        <w:rPr>
          <w:rFonts w:hint="eastAsia" w:ascii="仿宋" w:hAnsi="仿宋" w:eastAsia="仿宋" w:cs="仿宋"/>
          <w:b/>
          <w:color w:val="auto"/>
          <w:sz w:val="30"/>
          <w:szCs w:val="30"/>
          <w:highlight w:val="none"/>
        </w:rPr>
        <w:t>设计招标</w:t>
      </w:r>
    </w:p>
    <w:p w14:paraId="70D63AE0">
      <w:pPr>
        <w:pStyle w:val="31"/>
        <w:spacing w:beforeLines="20" w:afterLines="20" w:line="360" w:lineRule="auto"/>
        <w:jc w:val="center"/>
        <w:rPr>
          <w:rFonts w:ascii="仿宋" w:hAnsi="仿宋" w:eastAsia="仿宋" w:cs="仿宋"/>
          <w:b/>
          <w:color w:val="auto"/>
          <w:sz w:val="40"/>
          <w:szCs w:val="30"/>
          <w:highlight w:val="none"/>
        </w:rPr>
      </w:pPr>
      <w:r>
        <w:rPr>
          <w:rFonts w:hint="eastAsia" w:ascii="仿宋" w:hAnsi="仿宋" w:eastAsia="仿宋" w:cs="仿宋"/>
          <w:b/>
          <w:color w:val="auto"/>
          <w:sz w:val="40"/>
          <w:szCs w:val="30"/>
          <w:highlight w:val="none"/>
        </w:rPr>
        <w:t>资 格 审 查 文 件</w:t>
      </w:r>
    </w:p>
    <w:p w14:paraId="628AFF2E">
      <w:pPr>
        <w:pStyle w:val="31"/>
        <w:spacing w:beforeLines="20" w:afterLines="20"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招标编号：</w:t>
      </w:r>
    </w:p>
    <w:p w14:paraId="159B6D3E">
      <w:pPr>
        <w:pStyle w:val="31"/>
        <w:spacing w:beforeLines="20" w:afterLines="20" w:line="360" w:lineRule="auto"/>
        <w:jc w:val="center"/>
        <w:rPr>
          <w:rFonts w:ascii="仿宋" w:hAnsi="仿宋" w:eastAsia="仿宋" w:cs="仿宋"/>
          <w:color w:val="auto"/>
          <w:highlight w:val="none"/>
        </w:rPr>
      </w:pPr>
    </w:p>
    <w:p w14:paraId="5F5885B1">
      <w:pPr>
        <w:pStyle w:val="31"/>
        <w:spacing w:beforeLines="20" w:afterLines="20" w:line="360" w:lineRule="auto"/>
        <w:jc w:val="center"/>
        <w:rPr>
          <w:rFonts w:ascii="仿宋" w:hAnsi="仿宋" w:eastAsia="仿宋" w:cs="仿宋"/>
          <w:color w:val="auto"/>
          <w:highlight w:val="none"/>
        </w:rPr>
      </w:pPr>
    </w:p>
    <w:p w14:paraId="0278B817">
      <w:pPr>
        <w:pStyle w:val="31"/>
        <w:spacing w:beforeLines="20" w:afterLines="20" w:line="360" w:lineRule="auto"/>
        <w:jc w:val="center"/>
        <w:rPr>
          <w:rFonts w:ascii="仿宋" w:hAnsi="仿宋" w:eastAsia="仿宋" w:cs="仿宋"/>
          <w:color w:val="auto"/>
          <w:highlight w:val="none"/>
        </w:rPr>
      </w:pPr>
    </w:p>
    <w:p w14:paraId="6A454DF1">
      <w:pPr>
        <w:pStyle w:val="31"/>
        <w:spacing w:beforeLines="20" w:afterLines="20" w:line="360" w:lineRule="auto"/>
        <w:jc w:val="both"/>
        <w:rPr>
          <w:rFonts w:ascii="仿宋" w:hAnsi="仿宋" w:eastAsia="仿宋" w:cs="仿宋"/>
          <w:color w:val="auto"/>
          <w:highlight w:val="none"/>
        </w:rPr>
      </w:pPr>
    </w:p>
    <w:p w14:paraId="5F596A09">
      <w:pPr>
        <w:pStyle w:val="31"/>
        <w:spacing w:beforeLines="20" w:afterLines="20" w:line="360" w:lineRule="auto"/>
        <w:rPr>
          <w:rFonts w:ascii="仿宋" w:hAnsi="仿宋" w:eastAsia="仿宋" w:cs="仿宋"/>
          <w:b/>
          <w:color w:val="auto"/>
          <w:szCs w:val="24"/>
          <w:highlight w:val="none"/>
          <w:u w:val="single"/>
        </w:rPr>
      </w:pPr>
      <w:r>
        <w:rPr>
          <w:rFonts w:hint="eastAsia" w:ascii="仿宋" w:hAnsi="仿宋" w:eastAsia="仿宋" w:cs="仿宋"/>
          <w:b/>
          <w:color w:val="auto"/>
          <w:kern w:val="2"/>
          <w:szCs w:val="24"/>
          <w:highlight w:val="none"/>
        </w:rPr>
        <w:t>项目名称：</w:t>
      </w:r>
    </w:p>
    <w:p w14:paraId="7AA0F265">
      <w:pPr>
        <w:pStyle w:val="31"/>
        <w:spacing w:beforeLines="20" w:afterLines="20" w:line="360" w:lineRule="auto"/>
        <w:rPr>
          <w:rFonts w:ascii="仿宋" w:hAnsi="仿宋" w:eastAsia="仿宋" w:cs="仿宋"/>
          <w:b/>
          <w:color w:val="auto"/>
          <w:szCs w:val="24"/>
          <w:highlight w:val="none"/>
        </w:rPr>
      </w:pPr>
      <w:r>
        <w:rPr>
          <w:rFonts w:hint="eastAsia" w:ascii="仿宋" w:hAnsi="仿宋" w:eastAsia="仿宋" w:cs="仿宋"/>
          <w:b/>
          <w:color w:val="auto"/>
          <w:kern w:val="2"/>
          <w:szCs w:val="24"/>
          <w:highlight w:val="none"/>
        </w:rPr>
        <w:t>投标文件内容：</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 xml:space="preserve">      投标文件资信标</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ab/>
      </w:r>
    </w:p>
    <w:p w14:paraId="17C468DC">
      <w:pPr>
        <w:pStyle w:val="16"/>
        <w:spacing w:beforeLines="20" w:afterLines="20" w:line="360" w:lineRule="auto"/>
        <w:ind w:left="0" w:leftChars="0" w:firstLine="0" w:firstLineChars="0"/>
        <w:rPr>
          <w:rFonts w:ascii="仿宋" w:hAnsi="仿宋" w:eastAsia="仿宋" w:cs="仿宋"/>
          <w:b/>
          <w:color w:val="auto"/>
          <w:kern w:val="2"/>
          <w:sz w:val="24"/>
          <w:szCs w:val="24"/>
          <w:highlight w:val="none"/>
          <w:u w:val="single"/>
        </w:rPr>
      </w:pPr>
      <w:r>
        <w:rPr>
          <w:rFonts w:hint="eastAsia" w:ascii="仿宋" w:hAnsi="仿宋" w:eastAsia="仿宋" w:cs="仿宋"/>
          <w:b/>
          <w:color w:val="auto"/>
          <w:kern w:val="2"/>
          <w:sz w:val="24"/>
          <w:szCs w:val="24"/>
          <w:highlight w:val="none"/>
        </w:rPr>
        <w:t>投 标 人：</w:t>
      </w:r>
      <w:r>
        <w:rPr>
          <w:rFonts w:hint="eastAsia" w:ascii="仿宋" w:hAnsi="仿宋" w:eastAsia="仿宋" w:cs="仿宋"/>
          <w:b/>
          <w:color w:val="auto"/>
          <w:kern w:val="2"/>
          <w:sz w:val="24"/>
          <w:szCs w:val="24"/>
          <w:highlight w:val="none"/>
          <w:u w:val="single"/>
        </w:rPr>
        <w:t>（盖公章）</w:t>
      </w:r>
    </w:p>
    <w:p w14:paraId="13770D57">
      <w:pPr>
        <w:pStyle w:val="31"/>
        <w:spacing w:beforeLines="20" w:afterLines="20" w:line="360" w:lineRule="auto"/>
        <w:rPr>
          <w:rFonts w:ascii="仿宋" w:hAnsi="仿宋" w:eastAsia="仿宋" w:cs="仿宋"/>
          <w:b/>
          <w:color w:val="auto"/>
          <w:highlight w:val="none"/>
        </w:rPr>
      </w:pPr>
      <w:r>
        <w:rPr>
          <w:rFonts w:hint="eastAsia" w:ascii="仿宋" w:hAnsi="仿宋" w:eastAsia="仿宋" w:cs="仿宋"/>
          <w:b/>
          <w:color w:val="auto"/>
          <w:kern w:val="2"/>
          <w:szCs w:val="24"/>
          <w:highlight w:val="none"/>
        </w:rPr>
        <w:t>法定代表人或其委托代理人：</w:t>
      </w:r>
      <w:r>
        <w:rPr>
          <w:rFonts w:hint="eastAsia" w:ascii="仿宋" w:hAnsi="仿宋" w:eastAsia="仿宋" w:cs="仿宋"/>
          <w:b/>
          <w:color w:val="auto"/>
          <w:kern w:val="2"/>
          <w:szCs w:val="24"/>
          <w:highlight w:val="none"/>
          <w:u w:val="single"/>
        </w:rPr>
        <w:t>（签字或盖章）</w:t>
      </w:r>
    </w:p>
    <w:p w14:paraId="48AB9A41">
      <w:pPr>
        <w:spacing w:beforeLines="20" w:afterLines="20"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日    期： 年 月日</w:t>
      </w:r>
    </w:p>
    <w:p w14:paraId="6F5558EA">
      <w:pPr>
        <w:pStyle w:val="31"/>
        <w:adjustRightInd/>
        <w:spacing w:line="360" w:lineRule="auto"/>
        <w:jc w:val="center"/>
        <w:rPr>
          <w:rFonts w:ascii="仿宋" w:hAnsi="仿宋" w:eastAsia="仿宋" w:cs="仿宋"/>
          <w:b/>
          <w:color w:val="auto"/>
          <w:sz w:val="32"/>
          <w:szCs w:val="32"/>
          <w:highlight w:val="none"/>
        </w:rPr>
      </w:pPr>
    </w:p>
    <w:p w14:paraId="02F48FCC">
      <w:pPr>
        <w:pStyle w:val="31"/>
        <w:adjustRightInd/>
        <w:spacing w:line="360" w:lineRule="auto"/>
        <w:jc w:val="center"/>
        <w:rPr>
          <w:rFonts w:ascii="仿宋" w:hAnsi="仿宋" w:eastAsia="仿宋" w:cs="仿宋"/>
          <w:b/>
          <w:color w:val="auto"/>
          <w:kern w:val="2"/>
          <w:sz w:val="32"/>
          <w:szCs w:val="32"/>
          <w:highlight w:val="none"/>
        </w:rPr>
      </w:pPr>
    </w:p>
    <w:p w14:paraId="1854518C">
      <w:pPr>
        <w:pStyle w:val="31"/>
        <w:adjustRightInd/>
        <w:spacing w:line="360" w:lineRule="auto"/>
        <w:jc w:val="center"/>
        <w:rPr>
          <w:rFonts w:ascii="仿宋" w:hAnsi="仿宋" w:eastAsia="仿宋" w:cs="仿宋"/>
          <w:b/>
          <w:color w:val="auto"/>
          <w:kern w:val="2"/>
          <w:sz w:val="32"/>
          <w:szCs w:val="32"/>
          <w:highlight w:val="none"/>
        </w:rPr>
      </w:pPr>
    </w:p>
    <w:p w14:paraId="4F2B63C7">
      <w:pPr>
        <w:pStyle w:val="31"/>
        <w:adjustRightInd/>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kern w:val="2"/>
          <w:sz w:val="32"/>
          <w:szCs w:val="32"/>
          <w:highlight w:val="none"/>
        </w:rPr>
        <w:t>目   录</w:t>
      </w:r>
    </w:p>
    <w:p w14:paraId="6090F1C9">
      <w:pPr>
        <w:pStyle w:val="31"/>
        <w:adjustRightInd/>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rPr>
        <w:t>（1）法定代表人身份证明书</w:t>
      </w:r>
    </w:p>
    <w:p w14:paraId="2706065B">
      <w:pPr>
        <w:pStyle w:val="31"/>
        <w:adjustRightInd/>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rPr>
        <w:t>（2）授权委托书</w:t>
      </w:r>
    </w:p>
    <w:p w14:paraId="1AF9B9B8">
      <w:pPr>
        <w:pStyle w:val="31"/>
        <w:adjustRightInd/>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rPr>
        <w:t>（3）企业营业执照复印件</w:t>
      </w:r>
    </w:p>
    <w:p w14:paraId="5076397B">
      <w:pPr>
        <w:pStyle w:val="31"/>
        <w:adjustRightInd/>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rPr>
        <w:t>（4）企业资质证书复印件</w:t>
      </w:r>
    </w:p>
    <w:p w14:paraId="5F0B7A9D">
      <w:pPr>
        <w:pStyle w:val="31"/>
        <w:adjustRightInd/>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rPr>
        <w:t>（5）项目设计负责人注册或职称证书及简历表</w:t>
      </w:r>
    </w:p>
    <w:p w14:paraId="182E5B98">
      <w:pPr>
        <w:pStyle w:val="31"/>
        <w:adjustRightInd/>
        <w:spacing w:line="360" w:lineRule="auto"/>
        <w:ind w:firstLine="560" w:firstLineChars="200"/>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（6）投标诚信承诺书</w:t>
      </w:r>
    </w:p>
    <w:p w14:paraId="7976A8C8">
      <w:pPr>
        <w:pStyle w:val="31"/>
        <w:adjustRightInd/>
        <w:spacing w:line="360" w:lineRule="auto"/>
        <w:ind w:firstLine="560" w:firstLineChars="200"/>
        <w:rPr>
          <w:rFonts w:ascii="仿宋" w:hAnsi="仿宋" w:eastAsia="仿宋" w:cs="仿宋"/>
          <w:color w:val="auto"/>
          <w:kern w:val="2"/>
          <w:sz w:val="28"/>
          <w:szCs w:val="28"/>
          <w:highlight w:val="none"/>
        </w:rPr>
        <w:sectPr>
          <w:pgSz w:w="11906" w:h="16838"/>
          <w:pgMar w:top="1418" w:right="1077" w:bottom="1418" w:left="1077" w:header="851" w:footer="992" w:gutter="0"/>
          <w:pgNumType w:fmt="decimal"/>
          <w:cols w:space="425" w:num="1"/>
          <w:docGrid w:type="lines" w:linePitch="312" w:charSpace="0"/>
        </w:sectPr>
      </w:pP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7</w:t>
      </w:r>
      <w:r>
        <w:rPr>
          <w:rFonts w:hint="eastAsia" w:ascii="仿宋" w:hAnsi="仿宋" w:eastAsia="仿宋" w:cs="仿宋"/>
          <w:color w:val="auto"/>
          <w:kern w:val="2"/>
          <w:sz w:val="28"/>
          <w:szCs w:val="28"/>
          <w:highlight w:val="none"/>
        </w:rPr>
        <w:t>）其它需要的资料</w:t>
      </w:r>
    </w:p>
    <w:p w14:paraId="2659FB47">
      <w:pPr>
        <w:pStyle w:val="20"/>
        <w:spacing w:line="360" w:lineRule="auto"/>
        <w:rPr>
          <w:rFonts w:hAnsi="宋体"/>
          <w:bCs/>
          <w:color w:val="auto"/>
          <w:sz w:val="28"/>
          <w:szCs w:val="28"/>
          <w:highlight w:val="none"/>
        </w:rPr>
      </w:pPr>
    </w:p>
    <w:p w14:paraId="4CC9671A">
      <w:pPr>
        <w:pStyle w:val="20"/>
        <w:spacing w:line="360" w:lineRule="auto"/>
        <w:rPr>
          <w:rFonts w:hAnsi="宋体"/>
          <w:bCs/>
          <w:color w:val="auto"/>
          <w:sz w:val="28"/>
          <w:szCs w:val="28"/>
          <w:highlight w:val="none"/>
        </w:rPr>
      </w:pPr>
    </w:p>
    <w:p w14:paraId="320AE35D">
      <w:pPr>
        <w:pStyle w:val="20"/>
        <w:spacing w:line="360" w:lineRule="auto"/>
        <w:jc w:val="center"/>
        <w:rPr>
          <w:rFonts w:hAnsi="宋体"/>
          <w:b/>
          <w:color w:val="auto"/>
          <w:sz w:val="28"/>
          <w:szCs w:val="28"/>
          <w:highlight w:val="none"/>
        </w:rPr>
      </w:pPr>
      <w:bookmarkStart w:id="93" w:name="_Toc17197759"/>
      <w:r>
        <w:rPr>
          <w:rFonts w:hint="eastAsia" w:hAnsi="宋体"/>
          <w:b/>
          <w:color w:val="auto"/>
          <w:sz w:val="28"/>
          <w:szCs w:val="28"/>
          <w:highlight w:val="none"/>
        </w:rPr>
        <w:t>法定代表人身份证明书</w:t>
      </w:r>
      <w:bookmarkEnd w:id="93"/>
    </w:p>
    <w:p w14:paraId="3672C8DF">
      <w:pPr>
        <w:spacing w:beforeLines="20" w:afterLines="20" w:line="360" w:lineRule="auto"/>
        <w:jc w:val="center"/>
        <w:rPr>
          <w:rFonts w:ascii="宋体" w:hAnsi="宋体"/>
          <w:b/>
          <w:color w:val="auto"/>
          <w:sz w:val="24"/>
          <w:highlight w:val="none"/>
        </w:rPr>
      </w:pPr>
    </w:p>
    <w:p w14:paraId="634EA0FA">
      <w:pPr>
        <w:spacing w:beforeLines="20" w:afterLines="20" w:line="360" w:lineRule="auto"/>
        <w:rPr>
          <w:rFonts w:ascii="宋体" w:hAnsi="宋体"/>
          <w:b/>
          <w:color w:val="auto"/>
          <w:sz w:val="24"/>
          <w:highlight w:val="none"/>
        </w:rPr>
      </w:pPr>
    </w:p>
    <w:p w14:paraId="37250540">
      <w:pPr>
        <w:spacing w:beforeLines="20" w:afterLines="20" w:line="360" w:lineRule="auto"/>
        <w:ind w:firstLine="610"/>
        <w:rPr>
          <w:rFonts w:ascii="宋体" w:hAnsi="宋体"/>
          <w:color w:val="auto"/>
          <w:sz w:val="24"/>
          <w:highlight w:val="none"/>
        </w:rPr>
      </w:pPr>
      <w:r>
        <w:rPr>
          <w:rFonts w:hint="eastAsia" w:ascii="宋体" w:hAnsi="宋体"/>
          <w:color w:val="auto"/>
          <w:sz w:val="24"/>
          <w:highlight w:val="none"/>
        </w:rPr>
        <w:t>单位名称：</w:t>
      </w:r>
    </w:p>
    <w:p w14:paraId="5C95EB0B">
      <w:pPr>
        <w:spacing w:beforeLines="20" w:afterLines="20" w:line="360" w:lineRule="auto"/>
        <w:ind w:firstLine="610"/>
        <w:rPr>
          <w:rFonts w:ascii="宋体" w:hAnsi="宋体"/>
          <w:color w:val="auto"/>
          <w:sz w:val="24"/>
          <w:highlight w:val="none"/>
          <w:u w:val="single"/>
        </w:rPr>
      </w:pPr>
      <w:r>
        <w:rPr>
          <w:rFonts w:hint="eastAsia" w:ascii="宋体" w:hAnsi="宋体"/>
          <w:color w:val="auto"/>
          <w:sz w:val="24"/>
          <w:highlight w:val="none"/>
        </w:rPr>
        <w:t>单位性质：</w:t>
      </w:r>
    </w:p>
    <w:p w14:paraId="13E3CEBA">
      <w:pPr>
        <w:spacing w:beforeLines="20" w:afterLines="20" w:line="360" w:lineRule="auto"/>
        <w:ind w:firstLine="61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r>
        <w:rPr>
          <w:rFonts w:hint="eastAsia" w:ascii="宋体" w:hAnsi="宋体"/>
          <w:color w:val="auto"/>
          <w:sz w:val="24"/>
          <w:highlight w:val="none"/>
          <w:u w:val="single"/>
        </w:rPr>
        <w:tab/>
      </w:r>
    </w:p>
    <w:p w14:paraId="06D72B31">
      <w:pPr>
        <w:spacing w:beforeLines="20" w:afterLines="20" w:line="360" w:lineRule="auto"/>
        <w:ind w:firstLine="610"/>
        <w:rPr>
          <w:rFonts w:ascii="宋体" w:hAnsi="宋体"/>
          <w:color w:val="auto"/>
          <w:sz w:val="24"/>
          <w:highlight w:val="none"/>
        </w:rPr>
      </w:pPr>
      <w:r>
        <w:rPr>
          <w:rFonts w:hint="eastAsia" w:ascii="宋体" w:hAnsi="宋体"/>
          <w:color w:val="auto"/>
          <w:sz w:val="24"/>
          <w:highlight w:val="none"/>
        </w:rPr>
        <w:t>成立时间： 年 月 日</w:t>
      </w:r>
    </w:p>
    <w:p w14:paraId="3ADE0679">
      <w:pPr>
        <w:spacing w:beforeLines="20" w:afterLines="20" w:line="360" w:lineRule="auto"/>
        <w:ind w:firstLine="610"/>
        <w:rPr>
          <w:rFonts w:ascii="宋体" w:hAnsi="宋体"/>
          <w:color w:val="auto"/>
          <w:sz w:val="24"/>
          <w:highlight w:val="none"/>
        </w:rPr>
      </w:pPr>
      <w:r>
        <w:rPr>
          <w:rFonts w:hint="eastAsia" w:ascii="宋体" w:hAnsi="宋体"/>
          <w:color w:val="auto"/>
          <w:sz w:val="24"/>
          <w:highlight w:val="none"/>
        </w:rPr>
        <w:t>经营期限：</w:t>
      </w:r>
      <w:r>
        <w:rPr>
          <w:rFonts w:hint="eastAsia" w:ascii="宋体" w:hAnsi="宋体"/>
          <w:color w:val="auto"/>
          <w:sz w:val="24"/>
          <w:highlight w:val="none"/>
        </w:rPr>
        <w:tab/>
      </w:r>
    </w:p>
    <w:p w14:paraId="3BA6BED0">
      <w:pPr>
        <w:spacing w:beforeLines="20" w:afterLines="20" w:line="360" w:lineRule="auto"/>
        <w:ind w:firstLine="610"/>
        <w:rPr>
          <w:rFonts w:ascii="宋体" w:hAnsi="宋体"/>
          <w:color w:val="auto"/>
          <w:sz w:val="24"/>
          <w:highlight w:val="none"/>
          <w:u w:val="single"/>
        </w:rPr>
      </w:pPr>
      <w:r>
        <w:rPr>
          <w:rFonts w:hint="eastAsia" w:ascii="宋体" w:hAnsi="宋体"/>
          <w:color w:val="auto"/>
          <w:sz w:val="24"/>
          <w:highlight w:val="none"/>
        </w:rPr>
        <w:t>姓    名：   性别：</w:t>
      </w:r>
    </w:p>
    <w:p w14:paraId="4C04C674">
      <w:pPr>
        <w:spacing w:beforeLines="20" w:afterLines="20" w:line="360" w:lineRule="auto"/>
        <w:ind w:firstLine="610"/>
        <w:rPr>
          <w:rFonts w:ascii="宋体" w:hAnsi="宋体"/>
          <w:color w:val="auto"/>
          <w:sz w:val="24"/>
          <w:highlight w:val="none"/>
          <w:u w:val="single"/>
        </w:rPr>
      </w:pPr>
      <w:r>
        <w:rPr>
          <w:rFonts w:hint="eastAsia" w:ascii="宋体" w:hAnsi="宋体"/>
          <w:color w:val="auto"/>
          <w:sz w:val="24"/>
          <w:highlight w:val="none"/>
        </w:rPr>
        <w:t>年    龄：   职务：</w:t>
      </w:r>
      <w:r>
        <w:rPr>
          <w:rFonts w:hint="eastAsia" w:ascii="宋体" w:hAnsi="宋体"/>
          <w:color w:val="auto"/>
          <w:sz w:val="24"/>
          <w:highlight w:val="none"/>
        </w:rPr>
        <w:tab/>
      </w:r>
    </w:p>
    <w:p w14:paraId="65EB89B4">
      <w:pPr>
        <w:spacing w:beforeLines="20" w:afterLines="20" w:line="360" w:lineRule="auto"/>
        <w:ind w:firstLine="610"/>
        <w:rPr>
          <w:rFonts w:ascii="宋体" w:hAnsi="宋体"/>
          <w:color w:val="auto"/>
          <w:sz w:val="24"/>
          <w:highlight w:val="none"/>
        </w:rPr>
      </w:pPr>
      <w:r>
        <w:rPr>
          <w:rFonts w:hint="eastAsia" w:ascii="宋体" w:hAnsi="宋体"/>
          <w:color w:val="auto"/>
          <w:sz w:val="24"/>
          <w:highlight w:val="none"/>
        </w:rPr>
        <w:t xml:space="preserve">系  </w:t>
      </w:r>
      <w:r>
        <w:rPr>
          <w:rFonts w:hint="eastAsia" w:ascii="宋体" w:hAnsi="宋体"/>
          <w:color w:val="auto"/>
          <w:sz w:val="24"/>
          <w:highlight w:val="none"/>
          <w:u w:val="single"/>
        </w:rPr>
        <w:t xml:space="preserve">        （投标人单位名称）        </w:t>
      </w:r>
      <w:r>
        <w:rPr>
          <w:rFonts w:hint="eastAsia" w:ascii="宋体" w:hAnsi="宋体"/>
          <w:color w:val="auto"/>
          <w:sz w:val="24"/>
          <w:highlight w:val="none"/>
        </w:rPr>
        <w:t xml:space="preserve"> 的法定代表人。</w:t>
      </w:r>
    </w:p>
    <w:p w14:paraId="2EDB79EC">
      <w:pPr>
        <w:spacing w:beforeLines="20" w:afterLines="20" w:line="360" w:lineRule="auto"/>
        <w:ind w:firstLine="610"/>
        <w:rPr>
          <w:rFonts w:ascii="宋体" w:hAnsi="宋体"/>
          <w:color w:val="auto"/>
          <w:sz w:val="24"/>
          <w:highlight w:val="none"/>
        </w:rPr>
      </w:pPr>
    </w:p>
    <w:p w14:paraId="7048EE1D">
      <w:pPr>
        <w:pStyle w:val="14"/>
        <w:spacing w:beforeLines="20" w:afterLines="20" w:line="360" w:lineRule="auto"/>
        <w:ind w:left="400" w:firstLine="240" w:firstLineChars="100"/>
        <w:rPr>
          <w:rFonts w:ascii="宋体" w:hAnsi="宋体"/>
          <w:color w:val="auto"/>
          <w:sz w:val="24"/>
          <w:highlight w:val="none"/>
        </w:rPr>
      </w:pPr>
      <w:r>
        <w:rPr>
          <w:rFonts w:hint="eastAsia" w:ascii="宋体" w:hAnsi="宋体"/>
          <w:color w:val="auto"/>
          <w:sz w:val="24"/>
          <w:highlight w:val="none"/>
        </w:rPr>
        <w:t>特此证明。</w:t>
      </w:r>
    </w:p>
    <w:p w14:paraId="4D8044B7">
      <w:pPr>
        <w:tabs>
          <w:tab w:val="left" w:pos="720"/>
          <w:tab w:val="left" w:pos="900"/>
        </w:tabs>
        <w:spacing w:beforeLines="20" w:afterLines="20" w:line="360" w:lineRule="auto"/>
        <w:ind w:firstLine="480" w:firstLineChars="200"/>
        <w:rPr>
          <w:rFonts w:ascii="宋体" w:hAnsi="宋体"/>
          <w:color w:val="auto"/>
          <w:sz w:val="24"/>
          <w:highlight w:val="none"/>
        </w:rPr>
      </w:pPr>
    </w:p>
    <w:p w14:paraId="02D1DE9F">
      <w:pPr>
        <w:tabs>
          <w:tab w:val="left" w:pos="720"/>
          <w:tab w:val="left" w:pos="900"/>
        </w:tabs>
        <w:spacing w:beforeLines="20" w:afterLines="20" w:line="360" w:lineRule="auto"/>
        <w:ind w:firstLine="480" w:firstLineChars="200"/>
        <w:rPr>
          <w:rFonts w:ascii="宋体" w:hAnsi="宋体"/>
          <w:color w:val="auto"/>
          <w:sz w:val="24"/>
          <w:highlight w:val="none"/>
        </w:rPr>
      </w:pPr>
    </w:p>
    <w:p w14:paraId="7DF0B522">
      <w:pPr>
        <w:tabs>
          <w:tab w:val="left" w:pos="720"/>
          <w:tab w:val="left" w:pos="900"/>
        </w:tabs>
        <w:spacing w:beforeLines="20" w:afterLines="20" w:line="360" w:lineRule="auto"/>
        <w:ind w:firstLine="4560" w:firstLineChars="1900"/>
        <w:rPr>
          <w:rFonts w:ascii="宋体" w:hAnsi="宋体"/>
          <w:color w:val="auto"/>
          <w:sz w:val="24"/>
          <w:highlight w:val="none"/>
        </w:rPr>
      </w:pPr>
    </w:p>
    <w:p w14:paraId="4DD31BA0">
      <w:pPr>
        <w:tabs>
          <w:tab w:val="left" w:pos="720"/>
          <w:tab w:val="left" w:pos="900"/>
        </w:tabs>
        <w:spacing w:beforeLines="20" w:afterLines="20" w:line="360" w:lineRule="auto"/>
        <w:jc w:val="right"/>
        <w:rPr>
          <w:rFonts w:ascii="宋体" w:hAnsi="宋体"/>
          <w:color w:val="auto"/>
          <w:sz w:val="24"/>
          <w:highlight w:val="none"/>
        </w:rPr>
      </w:pPr>
      <w:r>
        <w:rPr>
          <w:rFonts w:hint="eastAsia" w:ascii="宋体" w:hAnsi="宋体"/>
          <w:color w:val="auto"/>
          <w:sz w:val="24"/>
          <w:highlight w:val="none"/>
        </w:rPr>
        <w:t>投标人：</w:t>
      </w:r>
      <w:r>
        <w:rPr>
          <w:rFonts w:hint="eastAsia" w:ascii="宋体" w:hAnsi="宋体"/>
          <w:color w:val="auto"/>
          <w:sz w:val="24"/>
          <w:highlight w:val="none"/>
          <w:u w:val="single"/>
        </w:rPr>
        <w:t>（盖公章）</w:t>
      </w:r>
    </w:p>
    <w:p w14:paraId="77AFBC03">
      <w:pPr>
        <w:spacing w:beforeLines="20" w:afterLines="20" w:line="360" w:lineRule="auto"/>
        <w:ind w:firstLine="7560" w:firstLineChars="3150"/>
        <w:rPr>
          <w:rFonts w:ascii="宋体" w:hAnsi="宋体"/>
          <w:b/>
          <w:color w:val="auto"/>
          <w:sz w:val="24"/>
          <w:highlight w:val="none"/>
        </w:rPr>
      </w:pPr>
      <w:r>
        <w:rPr>
          <w:rFonts w:hint="eastAsia" w:ascii="宋体" w:hAnsi="宋体"/>
          <w:color w:val="auto"/>
          <w:sz w:val="24"/>
          <w:highlight w:val="none"/>
        </w:rPr>
        <w:t>日  期：年月日</w:t>
      </w:r>
    </w:p>
    <w:p w14:paraId="47A006BF">
      <w:pPr>
        <w:spacing w:beforeLines="20" w:afterLines="20" w:line="360" w:lineRule="auto"/>
        <w:rPr>
          <w:rFonts w:ascii="宋体" w:hAnsi="宋体"/>
          <w:color w:val="auto"/>
          <w:sz w:val="24"/>
          <w:highlight w:val="none"/>
        </w:rPr>
      </w:pPr>
    </w:p>
    <w:p w14:paraId="13EEC9DE">
      <w:pPr>
        <w:spacing w:beforeLines="20" w:afterLines="20" w:line="360" w:lineRule="auto"/>
        <w:rPr>
          <w:rFonts w:ascii="宋体" w:hAnsi="宋体"/>
          <w:color w:val="auto"/>
          <w:sz w:val="24"/>
          <w:highlight w:val="none"/>
        </w:rPr>
      </w:pPr>
    </w:p>
    <w:p w14:paraId="3CFCA342">
      <w:pPr>
        <w:pStyle w:val="20"/>
        <w:spacing w:line="360" w:lineRule="auto"/>
        <w:jc w:val="center"/>
        <w:rPr>
          <w:rFonts w:hAnsi="宋体"/>
          <w:b/>
          <w:color w:val="auto"/>
          <w:sz w:val="28"/>
          <w:szCs w:val="28"/>
          <w:highlight w:val="none"/>
        </w:rPr>
      </w:pPr>
      <w:bookmarkStart w:id="94" w:name="_Toc171741991"/>
      <w:bookmarkStart w:id="95" w:name="_Toc171581368"/>
      <w:bookmarkStart w:id="96" w:name="_Toc171581548"/>
    </w:p>
    <w:p w14:paraId="7A4A97E8">
      <w:pPr>
        <w:pStyle w:val="20"/>
        <w:spacing w:line="360" w:lineRule="auto"/>
        <w:jc w:val="center"/>
        <w:rPr>
          <w:rFonts w:hAnsi="宋体"/>
          <w:b/>
          <w:color w:val="auto"/>
          <w:sz w:val="28"/>
          <w:szCs w:val="28"/>
          <w:highlight w:val="none"/>
        </w:rPr>
      </w:pPr>
    </w:p>
    <w:p w14:paraId="360B23E5">
      <w:pPr>
        <w:pStyle w:val="20"/>
        <w:spacing w:line="360" w:lineRule="auto"/>
        <w:jc w:val="center"/>
        <w:rPr>
          <w:rFonts w:hAnsi="宋体"/>
          <w:b/>
          <w:color w:val="auto"/>
          <w:sz w:val="28"/>
          <w:szCs w:val="28"/>
          <w:highlight w:val="none"/>
        </w:rPr>
      </w:pPr>
    </w:p>
    <w:p w14:paraId="426B701D">
      <w:pPr>
        <w:pStyle w:val="20"/>
        <w:spacing w:line="360" w:lineRule="auto"/>
        <w:rPr>
          <w:rFonts w:hAnsi="宋体"/>
          <w:b/>
          <w:color w:val="auto"/>
          <w:sz w:val="28"/>
          <w:szCs w:val="28"/>
          <w:highlight w:val="none"/>
        </w:rPr>
      </w:pPr>
    </w:p>
    <w:p w14:paraId="2C348A0B">
      <w:pPr>
        <w:pStyle w:val="20"/>
        <w:spacing w:line="360" w:lineRule="auto"/>
        <w:jc w:val="center"/>
        <w:rPr>
          <w:rFonts w:hAnsi="宋体"/>
          <w:b/>
          <w:color w:val="auto"/>
          <w:sz w:val="28"/>
          <w:szCs w:val="28"/>
          <w:highlight w:val="none"/>
        </w:rPr>
      </w:pPr>
      <w:r>
        <w:rPr>
          <w:rFonts w:hint="eastAsia" w:hAnsi="宋体"/>
          <w:b/>
          <w:color w:val="auto"/>
          <w:sz w:val="28"/>
          <w:szCs w:val="28"/>
          <w:highlight w:val="none"/>
        </w:rPr>
        <w:t>授权委托书</w:t>
      </w:r>
      <w:bookmarkEnd w:id="94"/>
      <w:bookmarkEnd w:id="95"/>
      <w:bookmarkEnd w:id="96"/>
    </w:p>
    <w:p w14:paraId="213965BB">
      <w:pPr>
        <w:pStyle w:val="17"/>
        <w:spacing w:beforeLines="20" w:afterLines="20" w:line="360" w:lineRule="auto"/>
        <w:ind w:left="400" w:firstLine="960" w:firstLineChars="400"/>
        <w:rPr>
          <w:rFonts w:ascii="宋体" w:hAnsi="宋体"/>
          <w:color w:val="auto"/>
          <w:sz w:val="24"/>
          <w:highlight w:val="none"/>
        </w:rPr>
      </w:pPr>
    </w:p>
    <w:p w14:paraId="33277E1C">
      <w:pPr>
        <w:pStyle w:val="17"/>
        <w:spacing w:beforeLines="20" w:afterLines="20" w:line="360" w:lineRule="auto"/>
        <w:ind w:left="400" w:firstLine="960" w:firstLineChars="400"/>
        <w:rPr>
          <w:rFonts w:ascii="宋体" w:hAnsi="宋体"/>
          <w:color w:val="auto"/>
          <w:sz w:val="24"/>
          <w:highlight w:val="none"/>
        </w:rPr>
      </w:pPr>
    </w:p>
    <w:p w14:paraId="0F526951">
      <w:pPr>
        <w:pStyle w:val="17"/>
        <w:spacing w:beforeLines="20" w:afterLines="20" w:line="360" w:lineRule="auto"/>
        <w:ind w:left="0" w:leftChars="0" w:firstLine="480" w:firstLineChars="200"/>
        <w:rPr>
          <w:rFonts w:ascii="宋体" w:hAnsi="宋体"/>
          <w:color w:val="auto"/>
          <w:sz w:val="24"/>
          <w:highlight w:val="none"/>
        </w:rPr>
      </w:pPr>
      <w:r>
        <w:rPr>
          <w:rFonts w:hint="eastAsia" w:ascii="宋体" w:hAnsi="宋体"/>
          <w:color w:val="auto"/>
          <w:sz w:val="24"/>
          <w:highlight w:val="none"/>
        </w:rPr>
        <w:t xml:space="preserve">本授权委托书声明：我（姓名）系 </w:t>
      </w:r>
      <w:r>
        <w:rPr>
          <w:rFonts w:hint="eastAsia" w:ascii="宋体" w:hAnsi="宋体"/>
          <w:color w:val="auto"/>
          <w:sz w:val="24"/>
          <w:highlight w:val="none"/>
          <w:u w:val="single"/>
        </w:rPr>
        <w:t>（投 标 人 名 称）</w:t>
      </w:r>
      <w:r>
        <w:rPr>
          <w:rFonts w:hint="eastAsia" w:ascii="宋体" w:hAnsi="宋体"/>
          <w:color w:val="auto"/>
          <w:sz w:val="24"/>
          <w:highlight w:val="none"/>
        </w:rPr>
        <w:t xml:space="preserve">的法定代表人，现授权委托 </w:t>
      </w:r>
      <w:r>
        <w:rPr>
          <w:rFonts w:hint="eastAsia" w:ascii="宋体" w:hAnsi="宋体"/>
          <w:color w:val="auto"/>
          <w:sz w:val="24"/>
          <w:highlight w:val="none"/>
          <w:u w:val="single"/>
        </w:rPr>
        <w:t xml:space="preserve">    （单位名称）         </w:t>
      </w:r>
      <w:r>
        <w:rPr>
          <w:rFonts w:hint="eastAsia" w:ascii="宋体" w:hAnsi="宋体"/>
          <w:color w:val="auto"/>
          <w:sz w:val="24"/>
          <w:highlight w:val="none"/>
        </w:rPr>
        <w:t xml:space="preserve"> 的 </w:t>
      </w:r>
      <w:r>
        <w:rPr>
          <w:rFonts w:hint="eastAsia" w:ascii="宋体" w:hAnsi="宋体"/>
          <w:color w:val="auto"/>
          <w:sz w:val="24"/>
          <w:highlight w:val="none"/>
          <w:u w:val="single"/>
        </w:rPr>
        <w:t xml:space="preserve">   （姓名）   </w:t>
      </w:r>
      <w:r>
        <w:rPr>
          <w:rFonts w:hint="eastAsia" w:ascii="宋体" w:hAnsi="宋体"/>
          <w:color w:val="auto"/>
          <w:sz w:val="24"/>
          <w:highlight w:val="none"/>
        </w:rPr>
        <w:t>为我公司的合法代理人，就（合同名称）的投标、施工、竣工和保修，以本公司的名义签署投标书，解释投标文件，进行谈判、签署合同和处理与之有关的一切事宜。</w:t>
      </w:r>
    </w:p>
    <w:p w14:paraId="0A0981A7">
      <w:pPr>
        <w:pStyle w:val="14"/>
        <w:spacing w:beforeLines="20" w:afterLines="20" w:line="360" w:lineRule="auto"/>
        <w:ind w:left="0" w:leftChars="0" w:firstLine="480" w:firstLineChars="200"/>
        <w:rPr>
          <w:rFonts w:ascii="宋体" w:hAnsi="宋体"/>
          <w:color w:val="auto"/>
          <w:sz w:val="24"/>
          <w:highlight w:val="none"/>
        </w:rPr>
      </w:pPr>
      <w:r>
        <w:rPr>
          <w:rFonts w:hint="eastAsia" w:ascii="宋体" w:hAnsi="宋体"/>
          <w:color w:val="auto"/>
          <w:sz w:val="24"/>
          <w:highlight w:val="none"/>
        </w:rPr>
        <w:t>代理人无转委托权，特此委托。</w:t>
      </w:r>
    </w:p>
    <w:p w14:paraId="047D25C9">
      <w:pPr>
        <w:spacing w:beforeLines="20" w:afterLines="20" w:line="360" w:lineRule="auto"/>
        <w:ind w:left="1260"/>
        <w:rPr>
          <w:rFonts w:ascii="宋体" w:hAnsi="宋体"/>
          <w:color w:val="auto"/>
          <w:sz w:val="24"/>
          <w:highlight w:val="none"/>
        </w:rPr>
      </w:pPr>
    </w:p>
    <w:p w14:paraId="31E9ED9F">
      <w:pPr>
        <w:spacing w:beforeLines="20" w:afterLines="20"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代  理  人：性别 ：年龄：</w:t>
      </w:r>
    </w:p>
    <w:p w14:paraId="5FA8F60A">
      <w:pPr>
        <w:spacing w:beforeLines="20" w:afterLines="20" w:line="360" w:lineRule="auto"/>
        <w:ind w:left="2699"/>
        <w:rPr>
          <w:rFonts w:ascii="宋体" w:hAnsi="宋体"/>
          <w:color w:val="auto"/>
          <w:sz w:val="24"/>
          <w:highlight w:val="none"/>
        </w:rPr>
      </w:pPr>
    </w:p>
    <w:p w14:paraId="1804512C">
      <w:pPr>
        <w:spacing w:beforeLines="20" w:afterLines="20"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身份证号码：职务：</w:t>
      </w:r>
    </w:p>
    <w:p w14:paraId="624E56DB">
      <w:pPr>
        <w:spacing w:beforeLines="20" w:afterLines="20" w:line="360" w:lineRule="auto"/>
        <w:ind w:left="2699"/>
        <w:rPr>
          <w:rFonts w:ascii="宋体" w:hAnsi="宋体"/>
          <w:color w:val="auto"/>
          <w:sz w:val="24"/>
          <w:highlight w:val="none"/>
        </w:rPr>
      </w:pPr>
    </w:p>
    <w:p w14:paraId="3BFFD682">
      <w:pPr>
        <w:spacing w:beforeLines="20" w:afterLines="20" w:line="360" w:lineRule="auto"/>
        <w:ind w:firstLine="480" w:firstLineChars="20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（盖公章）</w:t>
      </w:r>
    </w:p>
    <w:p w14:paraId="62C7DC8B">
      <w:pPr>
        <w:spacing w:beforeLines="20" w:afterLines="20" w:line="360" w:lineRule="auto"/>
        <w:rPr>
          <w:rFonts w:ascii="宋体" w:hAnsi="宋体"/>
          <w:color w:val="auto"/>
          <w:sz w:val="24"/>
          <w:highlight w:val="none"/>
        </w:rPr>
      </w:pPr>
    </w:p>
    <w:p w14:paraId="4F762990">
      <w:pPr>
        <w:spacing w:beforeLines="20" w:afterLines="20"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（签字或盖章）</w:t>
      </w:r>
    </w:p>
    <w:p w14:paraId="3AD0E476">
      <w:pPr>
        <w:spacing w:beforeLines="20" w:afterLines="20" w:line="360" w:lineRule="auto"/>
        <w:ind w:left="2699"/>
        <w:rPr>
          <w:rFonts w:ascii="宋体" w:hAnsi="宋体"/>
          <w:color w:val="auto"/>
          <w:sz w:val="24"/>
          <w:highlight w:val="none"/>
        </w:rPr>
      </w:pPr>
    </w:p>
    <w:p w14:paraId="48513A87">
      <w:pPr>
        <w:spacing w:beforeLines="20" w:afterLines="20" w:line="360" w:lineRule="auto"/>
        <w:ind w:left="2698" w:leftChars="1349" w:firstLine="2400" w:firstLineChars="1000"/>
        <w:rPr>
          <w:rFonts w:ascii="宋体" w:hAnsi="宋体"/>
          <w:color w:val="auto"/>
          <w:sz w:val="24"/>
          <w:highlight w:val="none"/>
        </w:rPr>
      </w:pPr>
    </w:p>
    <w:p w14:paraId="76640A9E">
      <w:pPr>
        <w:pStyle w:val="20"/>
        <w:spacing w:line="360" w:lineRule="auto"/>
        <w:jc w:val="center"/>
        <w:rPr>
          <w:rFonts w:hAnsi="宋体"/>
          <w:color w:val="auto"/>
          <w:sz w:val="24"/>
          <w:szCs w:val="24"/>
          <w:highlight w:val="none"/>
        </w:rPr>
      </w:pPr>
      <w:bookmarkStart w:id="97" w:name="_Toc171581369"/>
      <w:bookmarkStart w:id="98" w:name="_Toc171581549"/>
      <w:bookmarkStart w:id="99" w:name="_Toc171741992"/>
      <w:r>
        <w:rPr>
          <w:rFonts w:hint="eastAsia" w:hAnsi="宋体"/>
          <w:color w:val="auto"/>
          <w:sz w:val="24"/>
          <w:szCs w:val="24"/>
          <w:highlight w:val="none"/>
        </w:rPr>
        <w:t xml:space="preserve">                                授权委托日期：     年     月     日</w:t>
      </w:r>
      <w:bookmarkEnd w:id="97"/>
      <w:bookmarkEnd w:id="98"/>
      <w:bookmarkEnd w:id="99"/>
    </w:p>
    <w:p w14:paraId="27D1D127">
      <w:pPr>
        <w:spacing w:beforeLines="20" w:afterLines="20" w:line="360" w:lineRule="auto"/>
        <w:ind w:left="2698" w:leftChars="1349" w:firstLine="2400" w:firstLineChars="1000"/>
        <w:rPr>
          <w:rFonts w:ascii="宋体" w:hAnsi="宋体"/>
          <w:color w:val="auto"/>
          <w:sz w:val="24"/>
          <w:highlight w:val="none"/>
        </w:rPr>
      </w:pPr>
    </w:p>
    <w:p w14:paraId="1F968013">
      <w:pPr>
        <w:pStyle w:val="20"/>
        <w:spacing w:line="360" w:lineRule="auto"/>
        <w:ind w:firstLine="562" w:firstLineChars="200"/>
        <w:jc w:val="left"/>
        <w:rPr>
          <w:rFonts w:ascii="仿宋" w:hAnsi="仿宋" w:eastAsia="仿宋"/>
          <w:b/>
          <w:bCs/>
          <w:color w:val="auto"/>
          <w:sz w:val="28"/>
          <w:szCs w:val="28"/>
          <w:highlight w:val="none"/>
        </w:rPr>
      </w:pPr>
      <w:r>
        <w:rPr>
          <w:rFonts w:hint="eastAsia" w:ascii="仿宋" w:hAnsi="仿宋" w:eastAsia="仿宋"/>
          <w:b/>
          <w:bCs/>
          <w:color w:val="auto"/>
          <w:sz w:val="28"/>
          <w:szCs w:val="28"/>
          <w:highlight w:val="none"/>
        </w:rPr>
        <w:t>注：法人签署投标文件并到开标现场则投标文件中无需提供授权委托书，提供法定代表人身份证明书即可。</w:t>
      </w:r>
    </w:p>
    <w:p w14:paraId="5B64C2C2">
      <w:pPr>
        <w:pStyle w:val="31"/>
        <w:adjustRightInd/>
        <w:spacing w:line="360" w:lineRule="auto"/>
        <w:jc w:val="center"/>
        <w:rPr>
          <w:rFonts w:ascii="仿宋" w:hAnsi="仿宋" w:eastAsia="仿宋" w:cs="仿宋"/>
          <w:color w:val="auto"/>
          <w:sz w:val="32"/>
          <w:szCs w:val="32"/>
          <w:highlight w:val="none"/>
        </w:rPr>
      </w:pPr>
    </w:p>
    <w:p w14:paraId="5FC4A785">
      <w:pPr>
        <w:pStyle w:val="31"/>
        <w:adjustRightInd/>
        <w:spacing w:line="360" w:lineRule="auto"/>
        <w:jc w:val="center"/>
        <w:rPr>
          <w:rFonts w:ascii="仿宋" w:hAnsi="仿宋" w:eastAsia="仿宋" w:cs="仿宋"/>
          <w:color w:val="auto"/>
          <w:sz w:val="32"/>
          <w:szCs w:val="32"/>
          <w:highlight w:val="none"/>
        </w:rPr>
      </w:pPr>
    </w:p>
    <w:p w14:paraId="6344CA98">
      <w:pPr>
        <w:pStyle w:val="31"/>
        <w:adjustRightInd/>
        <w:spacing w:line="360" w:lineRule="auto"/>
        <w:jc w:val="center"/>
        <w:rPr>
          <w:rFonts w:ascii="仿宋" w:hAnsi="仿宋" w:eastAsia="仿宋" w:cs="仿宋"/>
          <w:b/>
          <w:color w:val="auto"/>
          <w:sz w:val="28"/>
          <w:szCs w:val="28"/>
          <w:highlight w:val="none"/>
        </w:rPr>
      </w:pPr>
      <w:r>
        <w:rPr>
          <w:rFonts w:hint="eastAsia" w:ascii="仿宋" w:hAnsi="仿宋" w:eastAsia="仿宋" w:cs="仿宋"/>
          <w:b/>
          <w:color w:val="auto"/>
          <w:kern w:val="2"/>
          <w:sz w:val="28"/>
          <w:szCs w:val="28"/>
          <w:highlight w:val="none"/>
        </w:rPr>
        <w:t>（五）拟担任设计项目负责人简历表</w:t>
      </w:r>
    </w:p>
    <w:p w14:paraId="3B256BC0">
      <w:pPr>
        <w:pStyle w:val="31"/>
        <w:adjustRightInd/>
        <w:spacing w:line="360" w:lineRule="auto"/>
        <w:ind w:firstLine="562" w:firstLineChars="200"/>
        <w:jc w:val="center"/>
        <w:rPr>
          <w:rFonts w:ascii="仿宋" w:hAnsi="仿宋" w:eastAsia="仿宋" w:cs="仿宋"/>
          <w:b/>
          <w:color w:val="auto"/>
          <w:sz w:val="28"/>
          <w:szCs w:val="28"/>
          <w:highlight w:val="none"/>
        </w:rPr>
      </w:pPr>
    </w:p>
    <w:tbl>
      <w:tblPr>
        <w:tblStyle w:val="36"/>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1167"/>
        <w:gridCol w:w="1052"/>
        <w:gridCol w:w="1022"/>
        <w:gridCol w:w="720"/>
        <w:gridCol w:w="540"/>
        <w:gridCol w:w="1980"/>
      </w:tblGrid>
      <w:tr w14:paraId="3E0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39D1A774">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姓  名</w:t>
            </w:r>
          </w:p>
        </w:tc>
        <w:tc>
          <w:tcPr>
            <w:tcW w:w="1167" w:type="dxa"/>
            <w:tcBorders>
              <w:top w:val="single" w:color="auto" w:sz="4" w:space="0"/>
              <w:left w:val="single" w:color="auto" w:sz="4" w:space="0"/>
              <w:bottom w:val="single" w:color="auto" w:sz="4" w:space="0"/>
              <w:right w:val="single" w:color="auto" w:sz="4" w:space="0"/>
            </w:tcBorders>
            <w:shd w:val="clear" w:color="auto" w:fill="auto"/>
            <w:vAlign w:val="center"/>
          </w:tcPr>
          <w:p w14:paraId="62DF1F92">
            <w:pPr>
              <w:jc w:val="center"/>
              <w:rPr>
                <w:rFonts w:ascii="仿宋" w:hAnsi="仿宋" w:eastAsia="仿宋" w:cs="仿宋"/>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14:paraId="78A46663">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022" w:type="dxa"/>
            <w:tcBorders>
              <w:top w:val="single" w:color="auto" w:sz="4" w:space="0"/>
              <w:left w:val="single" w:color="auto" w:sz="4" w:space="0"/>
              <w:bottom w:val="single" w:color="auto" w:sz="4" w:space="0"/>
              <w:right w:val="single" w:color="auto" w:sz="4" w:space="0"/>
            </w:tcBorders>
            <w:shd w:val="clear" w:color="auto" w:fill="auto"/>
            <w:vAlign w:val="center"/>
          </w:tcPr>
          <w:p w14:paraId="20E2B04F">
            <w:pPr>
              <w:jc w:val="center"/>
              <w:rPr>
                <w:rFonts w:ascii="仿宋" w:hAnsi="仿宋" w:eastAsia="仿宋" w:cs="仿宋"/>
                <w:color w:val="auto"/>
                <w:sz w:val="24"/>
                <w:highlight w:val="none"/>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0DE07E">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出生日期</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452641E">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tc>
      </w:tr>
      <w:tr w14:paraId="1E67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51C42207">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毕业院校专业</w:t>
            </w:r>
          </w:p>
        </w:tc>
        <w:tc>
          <w:tcPr>
            <w:tcW w:w="32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5407EA">
            <w:pPr>
              <w:jc w:val="center"/>
              <w:rPr>
                <w:rFonts w:ascii="仿宋" w:hAnsi="仿宋" w:eastAsia="仿宋" w:cs="仿宋"/>
                <w:color w:val="auto"/>
                <w:sz w:val="24"/>
                <w:highlight w:val="none"/>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C7454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003B72E">
            <w:pPr>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tc>
      </w:tr>
      <w:tr w14:paraId="0E9C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7C07ADC6">
            <w:pPr>
              <w:jc w:val="center"/>
              <w:rPr>
                <w:rFonts w:ascii="仿宋" w:hAnsi="仿宋" w:eastAsia="仿宋" w:cs="仿宋"/>
                <w:color w:val="auto"/>
                <w:sz w:val="24"/>
                <w:highlight w:val="none"/>
              </w:rPr>
            </w:pPr>
            <w:r>
              <w:rPr>
                <w:rFonts w:hint="eastAsia" w:ascii="仿宋" w:hAnsi="仿宋" w:eastAsia="仿宋" w:cs="仿宋"/>
                <w:color w:val="auto"/>
                <w:sz w:val="24"/>
                <w:highlight w:val="none"/>
              </w:rPr>
              <w:t>从事本专业时间</w:t>
            </w:r>
          </w:p>
        </w:tc>
        <w:tc>
          <w:tcPr>
            <w:tcW w:w="2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AB18FE">
            <w:pPr>
              <w:jc w:val="center"/>
              <w:rPr>
                <w:rFonts w:ascii="仿宋" w:hAnsi="仿宋" w:eastAsia="仿宋" w:cs="仿宋"/>
                <w:color w:val="auto"/>
                <w:sz w:val="24"/>
                <w:highlight w:val="none"/>
              </w:rPr>
            </w:pPr>
          </w:p>
        </w:tc>
        <w:tc>
          <w:tcPr>
            <w:tcW w:w="22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FD924A">
            <w:pPr>
              <w:jc w:val="center"/>
              <w:rPr>
                <w:rFonts w:ascii="仿宋" w:hAnsi="仿宋" w:eastAsia="仿宋" w:cs="仿宋"/>
                <w:color w:val="auto"/>
                <w:sz w:val="24"/>
                <w:highlight w:val="none"/>
              </w:rPr>
            </w:pPr>
            <w:r>
              <w:rPr>
                <w:rFonts w:hint="eastAsia" w:ascii="仿宋" w:hAnsi="仿宋" w:eastAsia="仿宋" w:cs="仿宋"/>
                <w:color w:val="auto"/>
                <w:sz w:val="24"/>
                <w:highlight w:val="none"/>
              </w:rPr>
              <w:t>为申请人</w:t>
            </w:r>
          </w:p>
          <w:p w14:paraId="0B1CEBF7">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服务时间</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59C64F68">
            <w:pPr>
              <w:jc w:val="center"/>
              <w:rPr>
                <w:rFonts w:ascii="仿宋" w:hAnsi="仿宋" w:eastAsia="仿宋" w:cs="仿宋"/>
                <w:color w:val="auto"/>
                <w:sz w:val="24"/>
                <w:highlight w:val="none"/>
              </w:rPr>
            </w:pPr>
          </w:p>
        </w:tc>
      </w:tr>
      <w:tr w14:paraId="252D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6B5B9C82">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执业注册</w:t>
            </w:r>
          </w:p>
        </w:tc>
        <w:tc>
          <w:tcPr>
            <w:tcW w:w="2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532B81">
            <w:pPr>
              <w:jc w:val="center"/>
              <w:rPr>
                <w:rFonts w:ascii="仿宋" w:hAnsi="仿宋" w:eastAsia="仿宋" w:cs="仿宋"/>
                <w:color w:val="auto"/>
                <w:sz w:val="24"/>
                <w:highlight w:val="none"/>
              </w:rPr>
            </w:pPr>
          </w:p>
        </w:tc>
        <w:tc>
          <w:tcPr>
            <w:tcW w:w="22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783D01">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职    称</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04920E54">
            <w:pPr>
              <w:jc w:val="center"/>
              <w:rPr>
                <w:rFonts w:ascii="仿宋" w:hAnsi="仿宋" w:eastAsia="仿宋" w:cs="仿宋"/>
                <w:color w:val="auto"/>
                <w:sz w:val="24"/>
                <w:highlight w:val="none"/>
              </w:rPr>
            </w:pPr>
          </w:p>
        </w:tc>
      </w:tr>
      <w:tr w14:paraId="2B98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5FAF36">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在本项目拟任职务</w:t>
            </w:r>
          </w:p>
        </w:tc>
        <w:tc>
          <w:tcPr>
            <w:tcW w:w="42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F363836">
            <w:pPr>
              <w:jc w:val="center"/>
              <w:rPr>
                <w:rFonts w:ascii="仿宋" w:hAnsi="仿宋" w:eastAsia="仿宋" w:cs="仿宋"/>
                <w:color w:val="auto"/>
                <w:sz w:val="24"/>
                <w:highlight w:val="none"/>
              </w:rPr>
            </w:pPr>
          </w:p>
        </w:tc>
      </w:tr>
      <w:tr w14:paraId="3565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8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37DDD034">
            <w:pPr>
              <w:jc w:val="center"/>
              <w:rPr>
                <w:rFonts w:ascii="仿宋" w:hAnsi="仿宋" w:eastAsia="仿宋" w:cs="仿宋"/>
                <w:color w:val="auto"/>
                <w:sz w:val="24"/>
                <w:highlight w:val="none"/>
              </w:rPr>
            </w:pPr>
            <w:r>
              <w:rPr>
                <w:rFonts w:hint="eastAsia" w:ascii="仿宋" w:hAnsi="仿宋" w:eastAsia="仿宋" w:cs="仿宋"/>
                <w:color w:val="auto"/>
                <w:sz w:val="24"/>
                <w:highlight w:val="none"/>
              </w:rPr>
              <w:t>主  要  经  历</w:t>
            </w:r>
          </w:p>
        </w:tc>
      </w:tr>
      <w:tr w14:paraId="3E30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527C82CD">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时间</w:t>
            </w:r>
          </w:p>
        </w:tc>
        <w:tc>
          <w:tcPr>
            <w:tcW w:w="396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E2B9EF8">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参加过的工程设计项目名称及规模</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233E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该项目中担任职务</w:t>
            </w:r>
          </w:p>
        </w:tc>
      </w:tr>
      <w:tr w14:paraId="6BAB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4"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6B0D8504">
            <w:pPr>
              <w:jc w:val="center"/>
              <w:rPr>
                <w:rFonts w:ascii="仿宋" w:hAnsi="仿宋" w:eastAsia="仿宋" w:cs="仿宋"/>
                <w:color w:val="auto"/>
                <w:sz w:val="24"/>
                <w:highlight w:val="none"/>
              </w:rPr>
            </w:pPr>
          </w:p>
        </w:tc>
        <w:tc>
          <w:tcPr>
            <w:tcW w:w="396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A1AA967">
            <w:pPr>
              <w:jc w:val="center"/>
              <w:rPr>
                <w:rFonts w:ascii="仿宋" w:hAnsi="仿宋" w:eastAsia="仿宋" w:cs="仿宋"/>
                <w:color w:val="auto"/>
                <w:sz w:val="24"/>
                <w:highlight w:val="none"/>
              </w:rPr>
            </w:pP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ABCC9E">
            <w:pPr>
              <w:jc w:val="center"/>
              <w:rPr>
                <w:rFonts w:ascii="仿宋" w:hAnsi="仿宋" w:eastAsia="仿宋" w:cs="仿宋"/>
                <w:color w:val="auto"/>
                <w:sz w:val="24"/>
                <w:highlight w:val="none"/>
              </w:rPr>
            </w:pPr>
          </w:p>
        </w:tc>
      </w:tr>
    </w:tbl>
    <w:p w14:paraId="2BF64925">
      <w:pPr>
        <w:autoSpaceDE w:val="0"/>
        <w:autoSpaceDN w:val="0"/>
        <w:snapToGrid w:val="0"/>
        <w:spacing w:line="360" w:lineRule="auto"/>
        <w:ind w:firstLine="482" w:firstLineChars="200"/>
        <w:rPr>
          <w:rFonts w:ascii="仿宋" w:hAnsi="仿宋" w:eastAsia="仿宋" w:cs="仿宋"/>
          <w:b/>
          <w:color w:val="auto"/>
          <w:sz w:val="24"/>
          <w:highlight w:val="none"/>
          <w:u w:val="double"/>
        </w:rPr>
      </w:pPr>
    </w:p>
    <w:p w14:paraId="3C4FBBFF">
      <w:pPr>
        <w:autoSpaceDE w:val="0"/>
        <w:autoSpaceDN w:val="0"/>
        <w:adjustRightInd/>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备注：</w:t>
      </w:r>
    </w:p>
    <w:p w14:paraId="49507EC9">
      <w:pPr>
        <w:autoSpaceDE w:val="0"/>
        <w:autoSpaceDN w:val="0"/>
        <w:adjustRightInd/>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lang w:eastAsia="zh-CN"/>
        </w:rPr>
        <w:t>1.</w:t>
      </w:r>
      <w:r>
        <w:rPr>
          <w:rFonts w:hint="eastAsia" w:ascii="仿宋" w:hAnsi="仿宋" w:eastAsia="仿宋" w:cs="仿宋"/>
          <w:b/>
          <w:color w:val="auto"/>
          <w:sz w:val="24"/>
          <w:highlight w:val="none"/>
        </w:rPr>
        <w:t>须附上项目设计负责人的证书和身份证复印件；</w:t>
      </w:r>
    </w:p>
    <w:p w14:paraId="3474D573">
      <w:pPr>
        <w:autoSpaceDE w:val="0"/>
        <w:autoSpaceDN w:val="0"/>
        <w:adjustRightInd/>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lang w:eastAsia="zh-CN"/>
        </w:rPr>
        <w:t>2.</w:t>
      </w:r>
      <w:r>
        <w:rPr>
          <w:rFonts w:hint="eastAsia" w:ascii="仿宋" w:hAnsi="仿宋" w:eastAsia="仿宋" w:cs="仿宋"/>
          <w:b/>
          <w:color w:val="auto"/>
          <w:sz w:val="24"/>
          <w:highlight w:val="none"/>
        </w:rPr>
        <w:t>所有复印件均须加盖投标人单位</w:t>
      </w:r>
      <w:r>
        <w:rPr>
          <w:rFonts w:hint="eastAsia" w:ascii="仿宋" w:hAnsi="仿宋" w:eastAsia="仿宋" w:cs="仿宋"/>
          <w:b/>
          <w:color w:val="auto"/>
          <w:sz w:val="24"/>
          <w:szCs w:val="22"/>
          <w:highlight w:val="none"/>
        </w:rPr>
        <w:t>公章或盖单位公章。</w:t>
      </w:r>
    </w:p>
    <w:p w14:paraId="14A9035D">
      <w:pPr>
        <w:spacing w:line="360" w:lineRule="auto"/>
        <w:rPr>
          <w:rFonts w:ascii="仿宋" w:hAnsi="仿宋" w:eastAsia="仿宋" w:cs="仿宋"/>
          <w:color w:val="auto"/>
          <w:kern w:val="2"/>
          <w:sz w:val="24"/>
          <w:szCs w:val="24"/>
          <w:highlight w:val="none"/>
        </w:rPr>
        <w:sectPr>
          <w:pgSz w:w="11906" w:h="16838"/>
          <w:pgMar w:top="1418" w:right="1077" w:bottom="1418" w:left="1077" w:header="851" w:footer="992" w:gutter="0"/>
          <w:pgNumType w:fmt="decimal"/>
          <w:cols w:space="425" w:num="1"/>
          <w:docGrid w:type="lines" w:linePitch="312" w:charSpace="0"/>
        </w:sectPr>
      </w:pPr>
    </w:p>
    <w:p w14:paraId="18865B78">
      <w:pPr>
        <w:tabs>
          <w:tab w:val="left" w:pos="7560"/>
        </w:tabs>
        <w:spacing w:beforeLines="20" w:afterLines="20" w:line="360" w:lineRule="auto"/>
        <w:jc w:val="center"/>
        <w:rPr>
          <w:rFonts w:hint="eastAsia" w:ascii="仿宋" w:hAnsi="仿宋" w:eastAsia="仿宋" w:cs="仿宋"/>
          <w:b/>
          <w:bCs/>
          <w:color w:val="auto"/>
          <w:sz w:val="28"/>
          <w:szCs w:val="28"/>
          <w:highlight w:val="none"/>
        </w:rPr>
      </w:pPr>
      <w:bookmarkStart w:id="100" w:name="_Toc171743122"/>
      <w:bookmarkStart w:id="101" w:name="_Toc208106839"/>
      <w:r>
        <w:rPr>
          <w:rFonts w:hint="eastAsia" w:ascii="仿宋" w:hAnsi="仿宋" w:eastAsia="仿宋" w:cs="仿宋"/>
          <w:b/>
          <w:bCs/>
          <w:color w:val="auto"/>
          <w:sz w:val="28"/>
          <w:szCs w:val="28"/>
          <w:highlight w:val="none"/>
        </w:rPr>
        <w:t>（六）诚信承诺书</w:t>
      </w:r>
    </w:p>
    <w:p w14:paraId="1DD8221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致招标人：</w:t>
      </w:r>
    </w:p>
    <w:p w14:paraId="169BBAA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我单位在参加项目的交易活动过程中，郑重承诺如下：</w:t>
      </w:r>
    </w:p>
    <w:p w14:paraId="4938345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一、确保提供的一切材料均为真实、合法和有效。</w:t>
      </w:r>
    </w:p>
    <w:p w14:paraId="3E56ECF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二、不受让、租借他人资格、资质证书，不以他人名义投标；不以伪造、变造等其他方式弄虚作假，骗取中标。</w:t>
      </w:r>
    </w:p>
    <w:p w14:paraId="3801559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三、不与招标人、招标代理机构或其他投标人串通投标。</w:t>
      </w:r>
    </w:p>
    <w:p w14:paraId="5477A0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四、不以向招标人、评标委员会成员或其他相关人员行贿方式牟取中标。</w:t>
      </w:r>
    </w:p>
    <w:p w14:paraId="344EE30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五、在行使异议、质疑、投诉权利时，提供真实、合法、充分的材料，不捏造事实、伪造材料或以其他非法手段取得证明材料。</w:t>
      </w:r>
    </w:p>
    <w:p w14:paraId="1DA7C659">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六、中标后，及时办理中标相关手续，并按照交易文件的约定，与招标人依法签订合同。</w:t>
      </w:r>
    </w:p>
    <w:p w14:paraId="3DD200C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七、在履约过程中，严格按照交易文件及合同约定履行义务；除法律法规允许外，在价格、质量、工期（供货期）、人员组成等方面不做任何有悖于交易文件实质性内容行为。</w:t>
      </w:r>
    </w:p>
    <w:p w14:paraId="7EB57E3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八、至投标截止之日，我公司没有投标人须知前附表及投标人须知1.4.3、1.4.4 规定的不得投标的关联关系、不良状况和不良信用记录。</w:t>
      </w:r>
    </w:p>
    <w:p w14:paraId="32D30E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内容我单位已仔细阅读，若有违反承诺内容的行为，自愿接受限制投标资格、记入不良行为记录、取消中标资格、不予退还投标保证金等处罚或处理；给招标人或其他投标人造成损失的，自愿依法承担赔偿责任。</w:t>
      </w:r>
    </w:p>
    <w:p w14:paraId="3A07E11E">
      <w:pPr>
        <w:spacing w:line="440" w:lineRule="exact"/>
        <w:ind w:firstLine="480" w:firstLineChars="200"/>
        <w:rPr>
          <w:rFonts w:hint="eastAsia" w:ascii="仿宋" w:hAnsi="仿宋" w:eastAsia="仿宋" w:cs="仿宋"/>
          <w:color w:val="auto"/>
          <w:sz w:val="24"/>
          <w:highlight w:val="none"/>
        </w:rPr>
      </w:pPr>
    </w:p>
    <w:p w14:paraId="0FF449DA">
      <w:pPr>
        <w:wordWrap w:val="0"/>
        <w:spacing w:line="440" w:lineRule="exact"/>
        <w:ind w:right="48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投标单位：</w:t>
      </w:r>
      <w:r>
        <w:rPr>
          <w:rFonts w:hint="eastAsia" w:ascii="仿宋" w:hAnsi="仿宋" w:eastAsia="仿宋" w:cs="仿宋"/>
          <w:color w:val="auto"/>
          <w:sz w:val="24"/>
          <w:highlight w:val="none"/>
          <w:u w:val="single"/>
        </w:rPr>
        <w:t>（盖公章）</w:t>
      </w:r>
    </w:p>
    <w:p w14:paraId="0B8F99EC">
      <w:pPr>
        <w:wordWrap w:val="0"/>
        <w:spacing w:line="440" w:lineRule="exact"/>
        <w:ind w:firstLine="480" w:firstLineChars="2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 </w:t>
      </w:r>
      <w:r>
        <w:rPr>
          <w:rFonts w:hint="eastAsia" w:ascii="仿宋" w:hAnsi="仿宋" w:eastAsia="仿宋" w:cs="仿宋"/>
          <w:color w:val="auto"/>
          <w:sz w:val="24"/>
          <w:highlight w:val="none"/>
          <w:u w:val="single"/>
        </w:rPr>
        <w:t>（签字或盖章）</w:t>
      </w:r>
    </w:p>
    <w:p w14:paraId="22B35189">
      <w:pPr>
        <w:pStyle w:val="13"/>
        <w:spacing w:line="440" w:lineRule="exact"/>
        <w:ind w:firstLine="4560" w:firstLineChars="190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   年     月     日</w:t>
      </w:r>
    </w:p>
    <w:p w14:paraId="3A5C9E17">
      <w:pPr>
        <w:tabs>
          <w:tab w:val="left" w:pos="7560"/>
        </w:tabs>
        <w:spacing w:beforeLines="20" w:afterLines="20" w:line="360" w:lineRule="auto"/>
        <w:rPr>
          <w:rFonts w:ascii="宋体" w:hAnsi="宋体"/>
          <w:b/>
          <w:bCs/>
          <w:color w:val="auto"/>
          <w:sz w:val="28"/>
          <w:szCs w:val="28"/>
          <w:highlight w:val="none"/>
        </w:rPr>
      </w:pPr>
    </w:p>
    <w:p w14:paraId="3978373A">
      <w:pPr>
        <w:tabs>
          <w:tab w:val="left" w:pos="7560"/>
        </w:tabs>
        <w:spacing w:beforeLines="20" w:afterLines="20"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七</w:t>
      </w:r>
      <w:r>
        <w:rPr>
          <w:rFonts w:hint="eastAsia" w:ascii="仿宋" w:hAnsi="仿宋" w:eastAsia="仿宋" w:cs="仿宋"/>
          <w:b/>
          <w:bCs/>
          <w:color w:val="auto"/>
          <w:sz w:val="28"/>
          <w:szCs w:val="28"/>
          <w:highlight w:val="none"/>
        </w:rPr>
        <w:t>）其它需要的资料</w:t>
      </w:r>
    </w:p>
    <w:p w14:paraId="570B28FF">
      <w:pPr>
        <w:tabs>
          <w:tab w:val="left" w:pos="7560"/>
        </w:tabs>
        <w:spacing w:beforeLines="20" w:afterLines="2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3F7AF0E2">
      <w:pPr>
        <w:rPr>
          <w:color w:val="auto"/>
          <w:highlight w:val="none"/>
        </w:rPr>
      </w:pPr>
      <w:bookmarkStart w:id="102" w:name="_Toc14469"/>
    </w:p>
    <w:p w14:paraId="3AFEDB81">
      <w:pPr>
        <w:rPr>
          <w:color w:val="auto"/>
          <w:highlight w:val="none"/>
        </w:rPr>
      </w:pPr>
    </w:p>
    <w:p w14:paraId="087CDA86">
      <w:pPr>
        <w:pStyle w:val="3"/>
        <w:widowControl/>
        <w:spacing w:line="360" w:lineRule="auto"/>
        <w:jc w:val="center"/>
        <w:rPr>
          <w:rFonts w:hint="eastAsia" w:ascii="仿宋" w:hAnsi="仿宋" w:eastAsia="仿宋" w:cs="仿宋"/>
          <w:color w:val="auto"/>
          <w:sz w:val="30"/>
          <w:szCs w:val="30"/>
          <w:highlight w:val="none"/>
        </w:rPr>
      </w:pPr>
    </w:p>
    <w:p w14:paraId="0887DC5D">
      <w:pPr>
        <w:pStyle w:val="3"/>
        <w:widowControl/>
        <w:spacing w:line="360" w:lineRule="auto"/>
        <w:jc w:val="center"/>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二、技 </w:t>
      </w:r>
      <w:bookmarkEnd w:id="100"/>
      <w:bookmarkEnd w:id="101"/>
      <w:r>
        <w:rPr>
          <w:rFonts w:hint="eastAsia" w:ascii="仿宋" w:hAnsi="仿宋" w:eastAsia="仿宋" w:cs="仿宋"/>
          <w:color w:val="auto"/>
          <w:sz w:val="30"/>
          <w:szCs w:val="30"/>
          <w:highlight w:val="none"/>
        </w:rPr>
        <w:t>术 标</w:t>
      </w:r>
      <w:bookmarkEnd w:id="102"/>
    </w:p>
    <w:p w14:paraId="499B8E6E">
      <w:pPr>
        <w:spacing w:beforeLines="20" w:afterLines="20" w:line="360" w:lineRule="auto"/>
        <w:ind w:firstLine="6023" w:firstLineChars="2500"/>
        <w:rPr>
          <w:rFonts w:ascii="仿宋" w:hAnsi="仿宋" w:eastAsia="仿宋" w:cs="仿宋"/>
          <w:b/>
          <w:color w:val="auto"/>
          <w:sz w:val="24"/>
          <w:highlight w:val="none"/>
          <w:u w:val="single"/>
        </w:rPr>
      </w:pPr>
      <w:r>
        <w:rPr>
          <w:rFonts w:hint="eastAsia" w:ascii="仿宋" w:hAnsi="仿宋" w:eastAsia="仿宋" w:cs="仿宋"/>
          <w:b/>
          <w:color w:val="auto"/>
          <w:sz w:val="24"/>
          <w:highlight w:val="none"/>
        </w:rPr>
        <w:t>设计招标</w:t>
      </w:r>
    </w:p>
    <w:p w14:paraId="74C4E6F5">
      <w:pPr>
        <w:pStyle w:val="31"/>
        <w:spacing w:beforeLines="20" w:afterLines="20" w:line="360" w:lineRule="auto"/>
        <w:rPr>
          <w:rFonts w:ascii="仿宋" w:hAnsi="仿宋" w:eastAsia="仿宋" w:cs="仿宋"/>
          <w:b/>
          <w:color w:val="auto"/>
          <w:szCs w:val="24"/>
          <w:highlight w:val="none"/>
        </w:rPr>
      </w:pPr>
    </w:p>
    <w:p w14:paraId="7387A483">
      <w:pPr>
        <w:pStyle w:val="31"/>
        <w:spacing w:beforeLines="20" w:afterLines="20" w:line="360"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投  标  文  件</w:t>
      </w:r>
    </w:p>
    <w:p w14:paraId="2865D19D">
      <w:pPr>
        <w:pStyle w:val="31"/>
        <w:spacing w:beforeLines="20" w:afterLines="20"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招标编号：</w:t>
      </w:r>
    </w:p>
    <w:p w14:paraId="5D4AF760">
      <w:pPr>
        <w:pStyle w:val="31"/>
        <w:spacing w:beforeLines="20" w:afterLines="20" w:line="360" w:lineRule="auto"/>
        <w:jc w:val="center"/>
        <w:rPr>
          <w:rFonts w:ascii="仿宋" w:hAnsi="仿宋" w:eastAsia="仿宋" w:cs="仿宋"/>
          <w:color w:val="auto"/>
          <w:highlight w:val="none"/>
        </w:rPr>
      </w:pPr>
    </w:p>
    <w:p w14:paraId="503CF465">
      <w:pPr>
        <w:pStyle w:val="31"/>
        <w:spacing w:beforeLines="20" w:afterLines="20" w:line="360" w:lineRule="auto"/>
        <w:jc w:val="center"/>
        <w:rPr>
          <w:rFonts w:ascii="仿宋" w:hAnsi="仿宋" w:eastAsia="仿宋" w:cs="仿宋"/>
          <w:color w:val="auto"/>
          <w:highlight w:val="none"/>
        </w:rPr>
      </w:pPr>
    </w:p>
    <w:p w14:paraId="404D64FC">
      <w:pPr>
        <w:pStyle w:val="31"/>
        <w:spacing w:beforeLines="20" w:afterLines="20" w:line="360" w:lineRule="auto"/>
        <w:jc w:val="center"/>
        <w:rPr>
          <w:rFonts w:ascii="仿宋" w:hAnsi="仿宋" w:eastAsia="仿宋" w:cs="仿宋"/>
          <w:color w:val="auto"/>
          <w:highlight w:val="none"/>
        </w:rPr>
      </w:pPr>
    </w:p>
    <w:p w14:paraId="4862BB0A">
      <w:pPr>
        <w:pStyle w:val="31"/>
        <w:spacing w:beforeLines="20" w:afterLines="20" w:line="360" w:lineRule="auto"/>
        <w:jc w:val="center"/>
        <w:rPr>
          <w:rFonts w:ascii="仿宋" w:hAnsi="仿宋" w:eastAsia="仿宋" w:cs="仿宋"/>
          <w:color w:val="auto"/>
          <w:highlight w:val="none"/>
        </w:rPr>
      </w:pPr>
    </w:p>
    <w:p w14:paraId="26AD3B86">
      <w:pPr>
        <w:pStyle w:val="31"/>
        <w:spacing w:beforeLines="20" w:afterLines="20" w:line="360" w:lineRule="auto"/>
        <w:rPr>
          <w:rFonts w:ascii="仿宋" w:hAnsi="仿宋" w:eastAsia="仿宋" w:cs="仿宋"/>
          <w:b/>
          <w:color w:val="auto"/>
          <w:szCs w:val="24"/>
          <w:highlight w:val="none"/>
          <w:u w:val="single"/>
        </w:rPr>
      </w:pPr>
      <w:r>
        <w:rPr>
          <w:rFonts w:hint="eastAsia" w:ascii="仿宋" w:hAnsi="仿宋" w:eastAsia="仿宋" w:cs="仿宋"/>
          <w:b/>
          <w:color w:val="auto"/>
          <w:kern w:val="2"/>
          <w:szCs w:val="24"/>
          <w:highlight w:val="none"/>
        </w:rPr>
        <w:t>项目名称：</w:t>
      </w:r>
    </w:p>
    <w:p w14:paraId="59D11372">
      <w:pPr>
        <w:pStyle w:val="31"/>
        <w:spacing w:beforeLines="20" w:afterLines="20" w:line="360" w:lineRule="auto"/>
        <w:rPr>
          <w:rFonts w:ascii="仿宋" w:hAnsi="仿宋" w:eastAsia="仿宋" w:cs="仿宋"/>
          <w:b/>
          <w:color w:val="auto"/>
          <w:szCs w:val="24"/>
          <w:highlight w:val="none"/>
        </w:rPr>
      </w:pPr>
      <w:r>
        <w:rPr>
          <w:rFonts w:hint="eastAsia" w:ascii="仿宋" w:hAnsi="仿宋" w:eastAsia="仿宋" w:cs="仿宋"/>
          <w:b/>
          <w:color w:val="auto"/>
          <w:kern w:val="2"/>
          <w:szCs w:val="24"/>
          <w:highlight w:val="none"/>
        </w:rPr>
        <w:t>投标文件内容：</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 xml:space="preserve">      投标文件技术标</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ab/>
      </w:r>
    </w:p>
    <w:p w14:paraId="16DCC46C">
      <w:pPr>
        <w:pStyle w:val="16"/>
        <w:spacing w:beforeLines="20" w:afterLines="20" w:line="360" w:lineRule="auto"/>
        <w:ind w:left="0" w:leftChars="0" w:firstLine="0" w:firstLineChars="0"/>
        <w:rPr>
          <w:rFonts w:ascii="仿宋" w:hAnsi="仿宋" w:eastAsia="仿宋" w:cs="仿宋"/>
          <w:b/>
          <w:color w:val="auto"/>
          <w:kern w:val="2"/>
          <w:sz w:val="24"/>
          <w:szCs w:val="24"/>
          <w:highlight w:val="none"/>
          <w:u w:val="single"/>
        </w:rPr>
      </w:pPr>
      <w:r>
        <w:rPr>
          <w:rFonts w:hint="eastAsia" w:ascii="仿宋" w:hAnsi="仿宋" w:eastAsia="仿宋" w:cs="仿宋"/>
          <w:b/>
          <w:color w:val="auto"/>
          <w:kern w:val="2"/>
          <w:sz w:val="24"/>
          <w:szCs w:val="24"/>
          <w:highlight w:val="none"/>
        </w:rPr>
        <w:t>投 标 人：</w:t>
      </w:r>
      <w:r>
        <w:rPr>
          <w:rFonts w:hint="eastAsia" w:ascii="仿宋" w:hAnsi="仿宋" w:eastAsia="仿宋" w:cs="仿宋"/>
          <w:b/>
          <w:color w:val="auto"/>
          <w:kern w:val="2"/>
          <w:sz w:val="24"/>
          <w:szCs w:val="24"/>
          <w:highlight w:val="none"/>
          <w:u w:val="single"/>
        </w:rPr>
        <w:t>（盖公章）</w:t>
      </w:r>
    </w:p>
    <w:p w14:paraId="6E8E7C8C">
      <w:pPr>
        <w:pStyle w:val="31"/>
        <w:spacing w:beforeLines="20" w:afterLines="20" w:line="360" w:lineRule="auto"/>
        <w:rPr>
          <w:rFonts w:ascii="仿宋" w:hAnsi="仿宋" w:eastAsia="仿宋" w:cs="仿宋"/>
          <w:b/>
          <w:color w:val="auto"/>
          <w:highlight w:val="none"/>
        </w:rPr>
      </w:pPr>
      <w:r>
        <w:rPr>
          <w:rFonts w:hint="eastAsia" w:ascii="仿宋" w:hAnsi="仿宋" w:eastAsia="仿宋" w:cs="仿宋"/>
          <w:b/>
          <w:color w:val="auto"/>
          <w:kern w:val="2"/>
          <w:szCs w:val="24"/>
          <w:highlight w:val="none"/>
        </w:rPr>
        <w:t>法定代表人或其委托代理人：</w:t>
      </w:r>
      <w:r>
        <w:rPr>
          <w:rFonts w:hint="eastAsia" w:ascii="仿宋" w:hAnsi="仿宋" w:eastAsia="仿宋" w:cs="仿宋"/>
          <w:b/>
          <w:color w:val="auto"/>
          <w:kern w:val="2"/>
          <w:szCs w:val="24"/>
          <w:highlight w:val="none"/>
          <w:u w:val="single"/>
        </w:rPr>
        <w:t>（签字或盖章）</w:t>
      </w:r>
    </w:p>
    <w:p w14:paraId="1A634C7F">
      <w:pPr>
        <w:spacing w:beforeLines="20" w:afterLines="20"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日    期： 年 月日</w:t>
      </w:r>
    </w:p>
    <w:p w14:paraId="50F75147">
      <w:pPr>
        <w:pStyle w:val="31"/>
        <w:keepNext/>
        <w:keepLines/>
        <w:snapToGrid w:val="0"/>
        <w:spacing w:line="360" w:lineRule="auto"/>
        <w:jc w:val="center"/>
        <w:outlineLvl w:val="0"/>
        <w:rPr>
          <w:rFonts w:ascii="仿宋" w:hAnsi="仿宋" w:eastAsia="仿宋" w:cs="仿宋"/>
          <w:color w:val="auto"/>
          <w:sz w:val="28"/>
          <w:szCs w:val="44"/>
          <w:highlight w:val="none"/>
        </w:rPr>
      </w:pPr>
    </w:p>
    <w:p w14:paraId="6F0B19C6">
      <w:pPr>
        <w:jc w:val="center"/>
        <w:rPr>
          <w:rFonts w:ascii="仿宋" w:hAnsi="仿宋" w:eastAsia="仿宋" w:cs="仿宋"/>
          <w:b/>
          <w:color w:val="auto"/>
          <w:sz w:val="72"/>
          <w:szCs w:val="72"/>
          <w:highlight w:val="none"/>
        </w:rPr>
      </w:pPr>
    </w:p>
    <w:p w14:paraId="2D924669">
      <w:pPr>
        <w:jc w:val="center"/>
        <w:rPr>
          <w:rFonts w:ascii="仿宋" w:hAnsi="仿宋" w:eastAsia="仿宋" w:cs="仿宋"/>
          <w:b/>
          <w:color w:val="auto"/>
          <w:sz w:val="72"/>
          <w:szCs w:val="72"/>
          <w:highlight w:val="none"/>
        </w:rPr>
      </w:pPr>
    </w:p>
    <w:p w14:paraId="0CF7B068">
      <w:pPr>
        <w:jc w:val="center"/>
        <w:rPr>
          <w:rFonts w:ascii="仿宋" w:hAnsi="仿宋" w:eastAsia="仿宋" w:cs="仿宋"/>
          <w:b/>
          <w:color w:val="auto"/>
          <w:sz w:val="72"/>
          <w:szCs w:val="72"/>
          <w:highlight w:val="none"/>
        </w:rPr>
      </w:pPr>
    </w:p>
    <w:p w14:paraId="58E17B1E">
      <w:pPr>
        <w:pStyle w:val="4"/>
        <w:keepNext w:val="0"/>
        <w:widowControl/>
        <w:tabs>
          <w:tab w:val="left" w:pos="720"/>
        </w:tabs>
        <w:adjustRightInd/>
        <w:spacing w:before="120" w:after="120" w:line="360" w:lineRule="auto"/>
        <w:ind w:left="720" w:hanging="720"/>
        <w:jc w:val="center"/>
        <w:rPr>
          <w:rFonts w:ascii="仿宋" w:hAnsi="仿宋" w:eastAsia="仿宋" w:cs="仿宋"/>
          <w:color w:val="auto"/>
          <w:sz w:val="36"/>
          <w:highlight w:val="none"/>
        </w:rPr>
      </w:pPr>
    </w:p>
    <w:p w14:paraId="6403186E">
      <w:pPr>
        <w:pStyle w:val="4"/>
        <w:keepNext w:val="0"/>
        <w:widowControl/>
        <w:tabs>
          <w:tab w:val="left" w:pos="720"/>
        </w:tabs>
        <w:adjustRightInd/>
        <w:spacing w:before="120" w:after="120" w:line="360" w:lineRule="auto"/>
        <w:ind w:left="720" w:hanging="720"/>
        <w:jc w:val="center"/>
        <w:rPr>
          <w:rFonts w:ascii="仿宋" w:hAnsi="仿宋" w:eastAsia="仿宋" w:cs="仿宋"/>
          <w:color w:val="auto"/>
          <w:sz w:val="36"/>
          <w:highlight w:val="none"/>
        </w:rPr>
      </w:pPr>
      <w:r>
        <w:rPr>
          <w:rFonts w:hint="eastAsia" w:ascii="仿宋" w:hAnsi="仿宋" w:eastAsia="仿宋" w:cs="仿宋"/>
          <w:color w:val="auto"/>
          <w:sz w:val="36"/>
          <w:highlight w:val="none"/>
        </w:rPr>
        <w:t>技术标文件目录</w:t>
      </w:r>
    </w:p>
    <w:p w14:paraId="3DD63C9C">
      <w:pPr>
        <w:ind w:firstLine="1260"/>
        <w:rPr>
          <w:rFonts w:ascii="仿宋" w:hAnsi="仿宋" w:eastAsia="仿宋" w:cs="仿宋"/>
          <w:color w:val="auto"/>
          <w:sz w:val="28"/>
          <w:szCs w:val="28"/>
          <w:highlight w:val="none"/>
        </w:rPr>
      </w:pPr>
    </w:p>
    <w:p w14:paraId="4280782A">
      <w:pPr>
        <w:spacing w:line="48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一、技术方案文件</w:t>
      </w:r>
    </w:p>
    <w:p w14:paraId="1A3B033E">
      <w:pPr>
        <w:spacing w:line="48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二、评标办法技术标“企业综合实力”评审项目中要求提供的其它资料</w:t>
      </w:r>
    </w:p>
    <w:p w14:paraId="36673342">
      <w:pPr>
        <w:spacing w:line="48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三、投标人认为应提供的其他材料（包括但不限于以下提供的格式内容）</w:t>
      </w:r>
    </w:p>
    <w:p w14:paraId="0A095948">
      <w:pPr>
        <w:jc w:val="center"/>
        <w:rPr>
          <w:rFonts w:ascii="仿宋" w:hAnsi="仿宋" w:eastAsia="仿宋" w:cs="仿宋"/>
          <w:b/>
          <w:color w:val="auto"/>
          <w:sz w:val="28"/>
          <w:szCs w:val="21"/>
          <w:highlight w:val="none"/>
        </w:rPr>
      </w:pPr>
      <w:r>
        <w:rPr>
          <w:rFonts w:hint="eastAsia" w:ascii="仿宋" w:hAnsi="仿宋" w:eastAsia="仿宋" w:cs="仿宋"/>
          <w:color w:val="auto"/>
          <w:sz w:val="36"/>
          <w:highlight w:val="none"/>
        </w:rPr>
        <w:br w:type="page"/>
      </w:r>
      <w:r>
        <w:rPr>
          <w:rFonts w:hint="eastAsia" w:ascii="仿宋" w:hAnsi="仿宋" w:eastAsia="仿宋" w:cs="仿宋"/>
          <w:b/>
          <w:color w:val="auto"/>
          <w:sz w:val="28"/>
          <w:szCs w:val="21"/>
          <w:highlight w:val="none"/>
        </w:rPr>
        <w:t>投标人基本情况表</w:t>
      </w:r>
    </w:p>
    <w:tbl>
      <w:tblPr>
        <w:tblStyle w:val="3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2340"/>
        <w:gridCol w:w="1440"/>
        <w:gridCol w:w="1754"/>
      </w:tblGrid>
      <w:tr w14:paraId="1801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5EE3FC81">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投标人全称</w:t>
            </w:r>
          </w:p>
        </w:tc>
        <w:tc>
          <w:tcPr>
            <w:tcW w:w="55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E415EA">
            <w:pPr>
              <w:jc w:val="center"/>
              <w:rPr>
                <w:rFonts w:ascii="仿宋" w:hAnsi="仿宋" w:eastAsia="仿宋" w:cs="仿宋"/>
                <w:color w:val="auto"/>
                <w:spacing w:val="14"/>
                <w:szCs w:val="21"/>
                <w:highlight w:val="none"/>
              </w:rPr>
            </w:pPr>
          </w:p>
        </w:tc>
      </w:tr>
      <w:tr w14:paraId="1BD9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2089B72E">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主要业务范围</w:t>
            </w:r>
          </w:p>
        </w:tc>
        <w:tc>
          <w:tcPr>
            <w:tcW w:w="55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9162B1D">
            <w:pPr>
              <w:jc w:val="center"/>
              <w:rPr>
                <w:rFonts w:ascii="仿宋" w:hAnsi="仿宋" w:eastAsia="仿宋" w:cs="仿宋"/>
                <w:color w:val="auto"/>
                <w:spacing w:val="14"/>
                <w:szCs w:val="21"/>
                <w:highlight w:val="none"/>
              </w:rPr>
            </w:pPr>
          </w:p>
        </w:tc>
      </w:tr>
      <w:tr w14:paraId="7A48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2641BFCE">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法定代表人名称</w:t>
            </w:r>
          </w:p>
        </w:tc>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5428E777">
            <w:pPr>
              <w:jc w:val="center"/>
              <w:rPr>
                <w:rFonts w:ascii="仿宋" w:hAnsi="仿宋" w:eastAsia="仿宋" w:cs="仿宋"/>
                <w:color w:val="auto"/>
                <w:spacing w:val="14"/>
                <w:szCs w:val="21"/>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514F165">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职   务</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6FBF7509">
            <w:pPr>
              <w:jc w:val="center"/>
              <w:rPr>
                <w:rFonts w:ascii="仿宋" w:hAnsi="仿宋" w:eastAsia="仿宋" w:cs="仿宋"/>
                <w:color w:val="auto"/>
                <w:spacing w:val="14"/>
                <w:szCs w:val="21"/>
                <w:highlight w:val="none"/>
              </w:rPr>
            </w:pPr>
          </w:p>
        </w:tc>
      </w:tr>
      <w:tr w14:paraId="098C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343838E2">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投标人地址</w:t>
            </w:r>
          </w:p>
        </w:tc>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54C68F55">
            <w:pPr>
              <w:jc w:val="center"/>
              <w:rPr>
                <w:rFonts w:ascii="仿宋" w:hAnsi="仿宋" w:eastAsia="仿宋" w:cs="仿宋"/>
                <w:color w:val="auto"/>
                <w:spacing w:val="14"/>
                <w:szCs w:val="21"/>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D70CCD9">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邮政编码</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3ED6205E">
            <w:pPr>
              <w:jc w:val="center"/>
              <w:rPr>
                <w:rFonts w:ascii="仿宋" w:hAnsi="仿宋" w:eastAsia="仿宋" w:cs="仿宋"/>
                <w:color w:val="auto"/>
                <w:spacing w:val="14"/>
                <w:szCs w:val="21"/>
                <w:highlight w:val="none"/>
              </w:rPr>
            </w:pPr>
          </w:p>
        </w:tc>
      </w:tr>
      <w:tr w14:paraId="0721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781B24E8">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电      话</w:t>
            </w:r>
          </w:p>
        </w:tc>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7A5BE970">
            <w:pPr>
              <w:jc w:val="center"/>
              <w:rPr>
                <w:rFonts w:ascii="仿宋" w:hAnsi="仿宋" w:eastAsia="仿宋" w:cs="仿宋"/>
                <w:color w:val="auto"/>
                <w:spacing w:val="14"/>
                <w:szCs w:val="21"/>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B04D1F">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传   真</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0EA17046">
            <w:pPr>
              <w:jc w:val="center"/>
              <w:rPr>
                <w:rFonts w:ascii="仿宋" w:hAnsi="仿宋" w:eastAsia="仿宋" w:cs="仿宋"/>
                <w:color w:val="auto"/>
                <w:spacing w:val="14"/>
                <w:szCs w:val="21"/>
                <w:highlight w:val="none"/>
              </w:rPr>
            </w:pPr>
          </w:p>
        </w:tc>
      </w:tr>
      <w:tr w14:paraId="4A5E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6B89DCC1">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成立日期</w:t>
            </w:r>
          </w:p>
        </w:tc>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14:paraId="121BA209">
            <w:pPr>
              <w:jc w:val="center"/>
              <w:rPr>
                <w:rFonts w:ascii="仿宋" w:hAnsi="仿宋" w:eastAsia="仿宋" w:cs="仿宋"/>
                <w:color w:val="auto"/>
                <w:spacing w:val="14"/>
                <w:szCs w:val="21"/>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99B5894">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现有职</w:t>
            </w:r>
          </w:p>
          <w:p w14:paraId="6EAD62A8">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工人数</w:t>
            </w:r>
          </w:p>
        </w:tc>
        <w:tc>
          <w:tcPr>
            <w:tcW w:w="1754" w:type="dxa"/>
            <w:tcBorders>
              <w:top w:val="single" w:color="auto" w:sz="4" w:space="0"/>
              <w:left w:val="single" w:color="auto" w:sz="4" w:space="0"/>
              <w:bottom w:val="single" w:color="auto" w:sz="4" w:space="0"/>
              <w:right w:val="single" w:color="auto" w:sz="4" w:space="0"/>
            </w:tcBorders>
            <w:shd w:val="clear" w:color="auto" w:fill="auto"/>
            <w:vAlign w:val="center"/>
          </w:tcPr>
          <w:p w14:paraId="3B090E62">
            <w:pPr>
              <w:jc w:val="center"/>
              <w:rPr>
                <w:rFonts w:ascii="仿宋" w:hAnsi="仿宋" w:eastAsia="仿宋" w:cs="仿宋"/>
                <w:color w:val="auto"/>
                <w:spacing w:val="14"/>
                <w:szCs w:val="21"/>
                <w:highlight w:val="none"/>
              </w:rPr>
            </w:pPr>
          </w:p>
        </w:tc>
      </w:tr>
      <w:tr w14:paraId="2A23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50592CB1">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等级资质证书</w:t>
            </w:r>
          </w:p>
        </w:tc>
        <w:tc>
          <w:tcPr>
            <w:tcW w:w="55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7FC1B9">
            <w:pPr>
              <w:ind w:firstLine="342" w:firstLineChars="150"/>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等级：         证书号：</w:t>
            </w:r>
          </w:p>
        </w:tc>
      </w:tr>
      <w:tr w14:paraId="6C1E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2988" w:type="dxa"/>
            <w:tcBorders>
              <w:top w:val="single" w:color="auto" w:sz="4" w:space="0"/>
              <w:left w:val="single" w:color="auto" w:sz="4" w:space="0"/>
              <w:bottom w:val="single" w:color="auto" w:sz="4" w:space="0"/>
              <w:right w:val="single" w:color="auto" w:sz="4" w:space="0"/>
            </w:tcBorders>
            <w:shd w:val="clear" w:color="auto" w:fill="auto"/>
            <w:vAlign w:val="center"/>
          </w:tcPr>
          <w:p w14:paraId="66091382">
            <w:pPr>
              <w:jc w:val="center"/>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质量管理体系证书</w:t>
            </w:r>
          </w:p>
        </w:tc>
        <w:tc>
          <w:tcPr>
            <w:tcW w:w="55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7BBE2E">
            <w:pPr>
              <w:ind w:firstLine="342" w:firstLineChars="150"/>
              <w:rPr>
                <w:rFonts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等级：         证书号：</w:t>
            </w:r>
          </w:p>
        </w:tc>
      </w:tr>
      <w:tr w14:paraId="5EF2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jc w:val="center"/>
        </w:trPr>
        <w:tc>
          <w:tcPr>
            <w:tcW w:w="8522" w:type="dxa"/>
            <w:gridSpan w:val="4"/>
            <w:tcBorders>
              <w:top w:val="single" w:color="auto" w:sz="4" w:space="0"/>
              <w:left w:val="single" w:color="auto" w:sz="4" w:space="0"/>
              <w:bottom w:val="single" w:color="auto" w:sz="4" w:space="0"/>
              <w:right w:val="single" w:color="auto" w:sz="4" w:space="0"/>
            </w:tcBorders>
            <w:shd w:val="clear" w:color="auto" w:fill="auto"/>
          </w:tcPr>
          <w:p w14:paraId="7B2E6FBE">
            <w:pPr>
              <w:spacing w:beforeLines="50" w:line="360" w:lineRule="auto"/>
              <w:ind w:firstLine="40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设计单位组织机构简介：</w:t>
            </w:r>
          </w:p>
          <w:p w14:paraId="2F503C7A">
            <w:pPr>
              <w:spacing w:line="360" w:lineRule="auto"/>
              <w:ind w:firstLine="40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（部室划分、各部室人数、中高级职称、注册建筑师、结构师等人数）</w:t>
            </w:r>
          </w:p>
          <w:p w14:paraId="745FCFEB">
            <w:pPr>
              <w:spacing w:line="360" w:lineRule="auto"/>
              <w:ind w:firstLine="400" w:firstLineChars="200"/>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企业组织机构框图附后</w:t>
            </w:r>
          </w:p>
          <w:p w14:paraId="3CA1965B">
            <w:pPr>
              <w:spacing w:line="360" w:lineRule="auto"/>
              <w:ind w:firstLine="40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技术人员总数：       人</w:t>
            </w:r>
          </w:p>
          <w:p w14:paraId="3FC5EECD">
            <w:pPr>
              <w:spacing w:line="360" w:lineRule="auto"/>
              <w:ind w:firstLine="400" w:firstLineChars="200"/>
              <w:rPr>
                <w:rFonts w:ascii="仿宋" w:hAnsi="仿宋" w:eastAsia="仿宋" w:cs="仿宋"/>
                <w:color w:val="auto"/>
                <w:szCs w:val="21"/>
                <w:highlight w:val="none"/>
              </w:rPr>
            </w:pPr>
            <w:r>
              <w:rPr>
                <w:rFonts w:hint="eastAsia" w:ascii="仿宋" w:hAnsi="仿宋" w:eastAsia="仿宋" w:cs="仿宋"/>
                <w:color w:val="auto"/>
                <w:szCs w:val="21"/>
                <w:highlight w:val="none"/>
              </w:rPr>
              <w:t>一级注册建筑师：     人</w:t>
            </w:r>
          </w:p>
          <w:p w14:paraId="2E0F10F9">
            <w:pPr>
              <w:spacing w:line="360" w:lineRule="auto"/>
              <w:ind w:firstLine="400" w:firstLineChars="200"/>
              <w:rPr>
                <w:rFonts w:ascii="仿宋" w:hAnsi="仿宋" w:eastAsia="仿宋" w:cs="仿宋"/>
                <w:color w:val="auto"/>
                <w:spacing w:val="14"/>
                <w:szCs w:val="21"/>
                <w:highlight w:val="none"/>
              </w:rPr>
            </w:pPr>
            <w:r>
              <w:rPr>
                <w:rFonts w:hint="eastAsia" w:ascii="仿宋" w:hAnsi="仿宋" w:eastAsia="仿宋" w:cs="仿宋"/>
                <w:color w:val="auto"/>
                <w:szCs w:val="21"/>
                <w:highlight w:val="none"/>
              </w:rPr>
              <w:t>一级注册结构工程师： 人</w:t>
            </w:r>
          </w:p>
        </w:tc>
      </w:tr>
    </w:tbl>
    <w:p w14:paraId="0AF39E40">
      <w:pPr>
        <w:autoSpaceDE w:val="0"/>
        <w:autoSpaceDN w:val="0"/>
        <w:snapToGrid w:val="0"/>
        <w:spacing w:line="360" w:lineRule="auto"/>
        <w:rPr>
          <w:rFonts w:ascii="仿宋" w:hAnsi="仿宋" w:eastAsia="仿宋" w:cs="仿宋"/>
          <w:b/>
          <w:color w:val="auto"/>
          <w:szCs w:val="21"/>
          <w:highlight w:val="none"/>
        </w:rPr>
      </w:pPr>
    </w:p>
    <w:p w14:paraId="2A7FC177">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投  标  人：</w:t>
      </w:r>
      <w:r>
        <w:rPr>
          <w:rFonts w:hint="eastAsia" w:ascii="仿宋" w:hAnsi="仿宋" w:eastAsia="仿宋" w:cs="仿宋"/>
          <w:color w:val="auto"/>
          <w:sz w:val="24"/>
          <w:szCs w:val="22"/>
          <w:highlight w:val="none"/>
          <w:u w:val="single"/>
        </w:rPr>
        <w:t>（盖公章）</w:t>
      </w:r>
    </w:p>
    <w:p w14:paraId="0A508049">
      <w:pPr>
        <w:ind w:left="2699"/>
        <w:rPr>
          <w:rFonts w:ascii="仿宋" w:hAnsi="仿宋" w:eastAsia="仿宋" w:cs="仿宋"/>
          <w:color w:val="auto"/>
          <w:sz w:val="24"/>
          <w:highlight w:val="none"/>
        </w:rPr>
      </w:pPr>
    </w:p>
    <w:p w14:paraId="14726722">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法定代表人：</w:t>
      </w:r>
      <w:r>
        <w:rPr>
          <w:rFonts w:hint="eastAsia" w:ascii="仿宋" w:hAnsi="仿宋" w:eastAsia="仿宋" w:cs="仿宋"/>
          <w:color w:val="auto"/>
          <w:sz w:val="24"/>
          <w:szCs w:val="22"/>
          <w:highlight w:val="none"/>
          <w:u w:val="single"/>
        </w:rPr>
        <w:t>（签字或盖章）</w:t>
      </w:r>
    </w:p>
    <w:p w14:paraId="48078709">
      <w:pPr>
        <w:spacing w:line="360" w:lineRule="exact"/>
        <w:rPr>
          <w:rFonts w:ascii="仿宋" w:hAnsi="仿宋" w:eastAsia="仿宋" w:cs="仿宋"/>
          <w:b/>
          <w:color w:val="auto"/>
          <w:szCs w:val="21"/>
          <w:highlight w:val="none"/>
        </w:rPr>
      </w:pPr>
    </w:p>
    <w:p w14:paraId="77AF83A7">
      <w:pPr>
        <w:autoSpaceDE w:val="0"/>
        <w:autoSpaceDN w:val="0"/>
        <w:snapToGrid w:val="0"/>
        <w:spacing w:line="360" w:lineRule="auto"/>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日    期： 年 月日</w:t>
      </w:r>
    </w:p>
    <w:p w14:paraId="6B0E6D09">
      <w:pPr>
        <w:autoSpaceDE w:val="0"/>
        <w:autoSpaceDN w:val="0"/>
        <w:snapToGrid w:val="0"/>
        <w:spacing w:line="360" w:lineRule="auto"/>
        <w:rPr>
          <w:rFonts w:ascii="仿宋" w:hAnsi="仿宋" w:eastAsia="仿宋" w:cs="仿宋"/>
          <w:b/>
          <w:color w:val="auto"/>
          <w:szCs w:val="21"/>
          <w:highlight w:val="none"/>
        </w:rPr>
      </w:pPr>
    </w:p>
    <w:p w14:paraId="654E2A35">
      <w:pPr>
        <w:autoSpaceDE w:val="0"/>
        <w:autoSpaceDN w:val="0"/>
        <w:snapToGrid w:val="0"/>
        <w:spacing w:line="360" w:lineRule="auto"/>
        <w:rPr>
          <w:rFonts w:ascii="仿宋" w:hAnsi="仿宋" w:eastAsia="仿宋" w:cs="仿宋"/>
          <w:b/>
          <w:color w:val="auto"/>
          <w:szCs w:val="21"/>
          <w:highlight w:val="none"/>
        </w:rPr>
      </w:pPr>
    </w:p>
    <w:p w14:paraId="3B484BCE">
      <w:pPr>
        <w:autoSpaceDE w:val="0"/>
        <w:autoSpaceDN w:val="0"/>
        <w:snapToGrid w:val="0"/>
        <w:spacing w:line="360" w:lineRule="auto"/>
        <w:rPr>
          <w:rFonts w:ascii="仿宋" w:hAnsi="仿宋" w:eastAsia="仿宋" w:cs="仿宋"/>
          <w:b/>
          <w:color w:val="auto"/>
          <w:szCs w:val="21"/>
          <w:highlight w:val="none"/>
        </w:rPr>
      </w:pPr>
    </w:p>
    <w:p w14:paraId="71EEAB11">
      <w:pPr>
        <w:autoSpaceDE w:val="0"/>
        <w:autoSpaceDN w:val="0"/>
        <w:snapToGrid w:val="0"/>
        <w:spacing w:line="360" w:lineRule="auto"/>
        <w:rPr>
          <w:rFonts w:ascii="仿宋" w:hAnsi="仿宋" w:eastAsia="仿宋" w:cs="仿宋"/>
          <w:b/>
          <w:color w:val="auto"/>
          <w:szCs w:val="21"/>
          <w:highlight w:val="none"/>
        </w:rPr>
      </w:pPr>
    </w:p>
    <w:p w14:paraId="18F1917E">
      <w:pPr>
        <w:autoSpaceDE w:val="0"/>
        <w:autoSpaceDN w:val="0"/>
        <w:snapToGrid w:val="0"/>
        <w:spacing w:line="360" w:lineRule="auto"/>
        <w:rPr>
          <w:rFonts w:ascii="仿宋" w:hAnsi="仿宋" w:eastAsia="仿宋" w:cs="仿宋"/>
          <w:b/>
          <w:color w:val="auto"/>
          <w:szCs w:val="21"/>
          <w:highlight w:val="none"/>
        </w:rPr>
      </w:pPr>
    </w:p>
    <w:p w14:paraId="2ACB1965">
      <w:pPr>
        <w:autoSpaceDE w:val="0"/>
        <w:autoSpaceDN w:val="0"/>
        <w:snapToGrid w:val="0"/>
        <w:spacing w:line="360" w:lineRule="auto"/>
        <w:rPr>
          <w:rFonts w:ascii="仿宋" w:hAnsi="仿宋" w:eastAsia="仿宋" w:cs="仿宋"/>
          <w:b/>
          <w:color w:val="auto"/>
          <w:szCs w:val="21"/>
          <w:highlight w:val="none"/>
        </w:rPr>
      </w:pPr>
    </w:p>
    <w:p w14:paraId="430AAFCC">
      <w:pPr>
        <w:autoSpaceDE w:val="0"/>
        <w:autoSpaceDN w:val="0"/>
        <w:snapToGrid w:val="0"/>
        <w:spacing w:line="360" w:lineRule="auto"/>
        <w:rPr>
          <w:rFonts w:ascii="仿宋" w:hAnsi="仿宋" w:eastAsia="仿宋" w:cs="仿宋"/>
          <w:b/>
          <w:color w:val="auto"/>
          <w:szCs w:val="21"/>
          <w:highlight w:val="none"/>
        </w:rPr>
      </w:pPr>
    </w:p>
    <w:p w14:paraId="3824D8C8">
      <w:pPr>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br w:type="page"/>
      </w:r>
      <w:r>
        <w:rPr>
          <w:rFonts w:hint="eastAsia" w:ascii="仿宋" w:hAnsi="仿宋" w:eastAsia="仿宋" w:cs="仿宋"/>
          <w:b/>
          <w:color w:val="auto"/>
          <w:sz w:val="28"/>
          <w:szCs w:val="21"/>
          <w:highlight w:val="none"/>
        </w:rPr>
        <w:t>投标人企业完成类似业绩情况表</w:t>
      </w:r>
    </w:p>
    <w:tbl>
      <w:tblPr>
        <w:tblStyle w:val="36"/>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4"/>
      </w:tblGrid>
      <w:tr w14:paraId="5EDA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0F48C331">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建 设 单 位</w:t>
            </w:r>
          </w:p>
          <w:p w14:paraId="79834F57">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（业主）</w:t>
            </w: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6BE1351E">
            <w:pPr>
              <w:jc w:val="center"/>
              <w:rPr>
                <w:rFonts w:ascii="仿宋" w:hAnsi="仿宋" w:eastAsia="仿宋" w:cs="仿宋"/>
                <w:color w:val="auto"/>
                <w:sz w:val="22"/>
                <w:szCs w:val="24"/>
                <w:highlight w:val="none"/>
              </w:rPr>
            </w:pPr>
          </w:p>
        </w:tc>
      </w:tr>
      <w:tr w14:paraId="23C8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6A11F818">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工 程 名 称</w:t>
            </w: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658CB005">
            <w:pPr>
              <w:jc w:val="center"/>
              <w:rPr>
                <w:rFonts w:ascii="仿宋" w:hAnsi="仿宋" w:eastAsia="仿宋" w:cs="仿宋"/>
                <w:color w:val="auto"/>
                <w:sz w:val="22"/>
                <w:szCs w:val="24"/>
                <w:highlight w:val="none"/>
              </w:rPr>
            </w:pPr>
          </w:p>
        </w:tc>
      </w:tr>
      <w:tr w14:paraId="3D42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018E1779">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建  设  规  模</w:t>
            </w:r>
          </w:p>
          <w:p w14:paraId="70F9F21C">
            <w:pPr>
              <w:jc w:val="center"/>
              <w:rPr>
                <w:rFonts w:ascii="仿宋" w:hAnsi="仿宋" w:eastAsia="仿宋" w:cs="仿宋"/>
                <w:color w:val="auto"/>
                <w:sz w:val="22"/>
                <w:szCs w:val="24"/>
                <w:highlight w:val="none"/>
              </w:rPr>
            </w:pP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4E8D362A">
            <w:pPr>
              <w:jc w:val="center"/>
              <w:rPr>
                <w:rFonts w:ascii="仿宋" w:hAnsi="仿宋" w:eastAsia="仿宋" w:cs="仿宋"/>
                <w:color w:val="auto"/>
                <w:sz w:val="22"/>
                <w:szCs w:val="24"/>
                <w:highlight w:val="none"/>
              </w:rPr>
            </w:pPr>
          </w:p>
        </w:tc>
      </w:tr>
      <w:tr w14:paraId="4AE9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4BC5B64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完 成 日 期</w:t>
            </w:r>
          </w:p>
          <w:p w14:paraId="4C566647">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   年   月  日 ）</w:t>
            </w: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5AE67AF9">
            <w:pPr>
              <w:jc w:val="center"/>
              <w:rPr>
                <w:rFonts w:ascii="仿宋" w:hAnsi="仿宋" w:eastAsia="仿宋" w:cs="仿宋"/>
                <w:color w:val="auto"/>
                <w:sz w:val="22"/>
                <w:szCs w:val="24"/>
                <w:highlight w:val="none"/>
              </w:rPr>
            </w:pPr>
          </w:p>
        </w:tc>
      </w:tr>
      <w:tr w14:paraId="2A08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129EB37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项目负责人及主要设计人员情况</w:t>
            </w: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0412AF2A">
            <w:pPr>
              <w:jc w:val="center"/>
              <w:rPr>
                <w:rFonts w:ascii="仿宋" w:hAnsi="仿宋" w:eastAsia="仿宋" w:cs="仿宋"/>
                <w:color w:val="auto"/>
                <w:sz w:val="22"/>
                <w:szCs w:val="24"/>
                <w:highlight w:val="none"/>
              </w:rPr>
            </w:pPr>
          </w:p>
        </w:tc>
      </w:tr>
      <w:tr w14:paraId="2A7B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78F6F379">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w:t>
            </w:r>
          </w:p>
        </w:tc>
        <w:tc>
          <w:tcPr>
            <w:tcW w:w="6254" w:type="dxa"/>
            <w:tcBorders>
              <w:top w:val="single" w:color="auto" w:sz="4" w:space="0"/>
              <w:left w:val="single" w:color="auto" w:sz="4" w:space="0"/>
              <w:bottom w:val="single" w:color="auto" w:sz="4" w:space="0"/>
              <w:right w:val="single" w:color="auto" w:sz="4" w:space="0"/>
            </w:tcBorders>
            <w:shd w:val="clear" w:color="auto" w:fill="auto"/>
            <w:vAlign w:val="center"/>
          </w:tcPr>
          <w:p w14:paraId="39310FCA">
            <w:pPr>
              <w:jc w:val="center"/>
              <w:rPr>
                <w:rFonts w:ascii="仿宋" w:hAnsi="仿宋" w:eastAsia="仿宋" w:cs="仿宋"/>
                <w:color w:val="auto"/>
                <w:sz w:val="22"/>
                <w:szCs w:val="24"/>
                <w:highlight w:val="none"/>
              </w:rPr>
            </w:pPr>
          </w:p>
        </w:tc>
      </w:tr>
    </w:tbl>
    <w:p w14:paraId="15653413">
      <w:pPr>
        <w:autoSpaceDE w:val="0"/>
        <w:autoSpaceDN w:val="0"/>
        <w:snapToGrid w:val="0"/>
        <w:spacing w:line="360" w:lineRule="auto"/>
        <w:rPr>
          <w:rFonts w:ascii="仿宋" w:hAnsi="仿宋" w:eastAsia="仿宋" w:cs="仿宋"/>
          <w:b/>
          <w:color w:val="auto"/>
          <w:szCs w:val="21"/>
          <w:highlight w:val="none"/>
        </w:rPr>
      </w:pPr>
    </w:p>
    <w:p w14:paraId="312C4E44">
      <w:pPr>
        <w:autoSpaceDE w:val="0"/>
        <w:autoSpaceDN w:val="0"/>
        <w:snapToGrid w:val="0"/>
        <w:spacing w:line="360" w:lineRule="auto"/>
        <w:rPr>
          <w:rFonts w:ascii="仿宋" w:hAnsi="仿宋" w:eastAsia="仿宋" w:cs="仿宋"/>
          <w:b/>
          <w:color w:val="auto"/>
          <w:szCs w:val="21"/>
          <w:highlight w:val="none"/>
        </w:rPr>
      </w:pPr>
    </w:p>
    <w:p w14:paraId="65F8159B">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投  标  人：</w:t>
      </w:r>
      <w:r>
        <w:rPr>
          <w:rFonts w:hint="eastAsia" w:ascii="仿宋" w:hAnsi="仿宋" w:eastAsia="仿宋" w:cs="仿宋"/>
          <w:color w:val="auto"/>
          <w:sz w:val="24"/>
          <w:szCs w:val="22"/>
          <w:highlight w:val="none"/>
          <w:u w:val="single"/>
        </w:rPr>
        <w:t>（盖公章）</w:t>
      </w:r>
    </w:p>
    <w:p w14:paraId="6AC08D78">
      <w:pPr>
        <w:ind w:left="2699"/>
        <w:rPr>
          <w:rFonts w:ascii="仿宋" w:hAnsi="仿宋" w:eastAsia="仿宋" w:cs="仿宋"/>
          <w:color w:val="auto"/>
          <w:sz w:val="24"/>
          <w:highlight w:val="none"/>
        </w:rPr>
      </w:pPr>
    </w:p>
    <w:p w14:paraId="6A254C9B">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法定代表人：</w:t>
      </w:r>
      <w:r>
        <w:rPr>
          <w:rFonts w:hint="eastAsia" w:ascii="仿宋" w:hAnsi="仿宋" w:eastAsia="仿宋" w:cs="仿宋"/>
          <w:color w:val="auto"/>
          <w:sz w:val="24"/>
          <w:szCs w:val="22"/>
          <w:highlight w:val="none"/>
          <w:u w:val="single"/>
        </w:rPr>
        <w:t>（签字或盖章）</w:t>
      </w:r>
    </w:p>
    <w:p w14:paraId="23ED5B2A">
      <w:pPr>
        <w:spacing w:line="360" w:lineRule="exact"/>
        <w:rPr>
          <w:rFonts w:ascii="仿宋" w:hAnsi="仿宋" w:eastAsia="仿宋" w:cs="仿宋"/>
          <w:b/>
          <w:color w:val="auto"/>
          <w:szCs w:val="21"/>
          <w:highlight w:val="none"/>
        </w:rPr>
      </w:pPr>
    </w:p>
    <w:p w14:paraId="7C188CA0">
      <w:pPr>
        <w:autoSpaceDE w:val="0"/>
        <w:autoSpaceDN w:val="0"/>
        <w:snapToGrid w:val="0"/>
        <w:spacing w:line="360" w:lineRule="auto"/>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日    期： 年 月日</w:t>
      </w:r>
    </w:p>
    <w:p w14:paraId="62EA11A0">
      <w:pPr>
        <w:ind w:left="787" w:hanging="787" w:hangingChars="392"/>
        <w:rPr>
          <w:rFonts w:ascii="仿宋" w:hAnsi="仿宋" w:eastAsia="仿宋" w:cs="仿宋"/>
          <w:b/>
          <w:color w:val="auto"/>
          <w:szCs w:val="21"/>
          <w:highlight w:val="none"/>
        </w:rPr>
      </w:pPr>
    </w:p>
    <w:p w14:paraId="292DFCFD">
      <w:pPr>
        <w:ind w:left="787" w:hanging="787" w:hangingChars="392"/>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注：1、投标人应随此表附上相关的业绩证明</w:t>
      </w:r>
      <w:r>
        <w:rPr>
          <w:rFonts w:hint="eastAsia" w:ascii="仿宋" w:hAnsi="仿宋" w:eastAsia="仿宋" w:cs="仿宋"/>
          <w:b/>
          <w:color w:val="auto"/>
          <w:szCs w:val="21"/>
          <w:highlight w:val="none"/>
          <w:lang w:eastAsia="zh-CN"/>
        </w:rPr>
        <w:t>；</w:t>
      </w:r>
    </w:p>
    <w:p w14:paraId="5D87A1B4">
      <w:pPr>
        <w:rPr>
          <w:rFonts w:ascii="仿宋" w:hAnsi="仿宋" w:eastAsia="仿宋" w:cs="仿宋"/>
          <w:b/>
          <w:color w:val="auto"/>
          <w:szCs w:val="21"/>
          <w:highlight w:val="none"/>
        </w:rPr>
      </w:pPr>
      <w:r>
        <w:rPr>
          <w:rFonts w:hint="eastAsia" w:ascii="仿宋" w:hAnsi="仿宋" w:eastAsia="仿宋" w:cs="仿宋"/>
          <w:b/>
          <w:color w:val="auto"/>
          <w:szCs w:val="21"/>
          <w:highlight w:val="none"/>
        </w:rPr>
        <w:t xml:space="preserve">    </w:t>
      </w:r>
      <w:r>
        <w:rPr>
          <w:rFonts w:hint="eastAsia" w:ascii="仿宋" w:hAnsi="仿宋" w:eastAsia="仿宋" w:cs="仿宋"/>
          <w:b/>
          <w:color w:val="auto"/>
          <w:szCs w:val="21"/>
          <w:highlight w:val="none"/>
          <w:lang w:eastAsia="zh-CN"/>
        </w:rPr>
        <w:t>2.</w:t>
      </w:r>
      <w:r>
        <w:rPr>
          <w:rFonts w:hint="eastAsia" w:ascii="仿宋" w:hAnsi="仿宋" w:eastAsia="仿宋" w:cs="仿宋"/>
          <w:b/>
          <w:color w:val="auto"/>
          <w:szCs w:val="21"/>
          <w:highlight w:val="none"/>
        </w:rPr>
        <w:t>如有多个已完成项目，每个项目填一张此表，附后。</w:t>
      </w:r>
    </w:p>
    <w:p w14:paraId="5154E533">
      <w:pPr>
        <w:rPr>
          <w:rFonts w:ascii="仿宋" w:hAnsi="仿宋" w:eastAsia="仿宋" w:cs="仿宋"/>
          <w:b/>
          <w:color w:val="auto"/>
          <w:szCs w:val="21"/>
          <w:highlight w:val="none"/>
        </w:rPr>
      </w:pPr>
    </w:p>
    <w:p w14:paraId="675AE4D9">
      <w:pPr>
        <w:rPr>
          <w:rFonts w:ascii="仿宋" w:hAnsi="仿宋" w:eastAsia="仿宋" w:cs="仿宋"/>
          <w:color w:val="auto"/>
          <w:spacing w:val="14"/>
          <w:szCs w:val="21"/>
          <w:highlight w:val="none"/>
        </w:rPr>
      </w:pPr>
    </w:p>
    <w:p w14:paraId="3F9AFD60">
      <w:pPr>
        <w:rPr>
          <w:rFonts w:ascii="仿宋" w:hAnsi="仿宋" w:eastAsia="仿宋" w:cs="仿宋"/>
          <w:color w:val="auto"/>
          <w:spacing w:val="14"/>
          <w:szCs w:val="21"/>
          <w:highlight w:val="none"/>
        </w:rPr>
      </w:pPr>
    </w:p>
    <w:p w14:paraId="19380DAA">
      <w:pPr>
        <w:rPr>
          <w:rFonts w:ascii="仿宋" w:hAnsi="仿宋" w:eastAsia="仿宋" w:cs="仿宋"/>
          <w:color w:val="auto"/>
          <w:spacing w:val="14"/>
          <w:szCs w:val="21"/>
          <w:highlight w:val="none"/>
        </w:rPr>
      </w:pPr>
    </w:p>
    <w:p w14:paraId="784C1F2D">
      <w:pPr>
        <w:rPr>
          <w:rFonts w:ascii="仿宋" w:hAnsi="仿宋" w:eastAsia="仿宋" w:cs="仿宋"/>
          <w:color w:val="auto"/>
          <w:spacing w:val="14"/>
          <w:szCs w:val="21"/>
          <w:highlight w:val="none"/>
        </w:rPr>
      </w:pPr>
    </w:p>
    <w:p w14:paraId="0A7CB981">
      <w:pPr>
        <w:rPr>
          <w:rFonts w:ascii="仿宋" w:hAnsi="仿宋" w:eastAsia="仿宋" w:cs="仿宋"/>
          <w:color w:val="auto"/>
          <w:spacing w:val="14"/>
          <w:szCs w:val="21"/>
          <w:highlight w:val="none"/>
        </w:rPr>
      </w:pPr>
    </w:p>
    <w:p w14:paraId="48FB26CE">
      <w:pPr>
        <w:rPr>
          <w:rFonts w:ascii="仿宋" w:hAnsi="仿宋" w:eastAsia="仿宋" w:cs="仿宋"/>
          <w:color w:val="auto"/>
          <w:spacing w:val="14"/>
          <w:szCs w:val="21"/>
          <w:highlight w:val="none"/>
        </w:rPr>
      </w:pPr>
    </w:p>
    <w:p w14:paraId="6840C229">
      <w:pPr>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t>项目负责人基本情况表</w:t>
      </w:r>
    </w:p>
    <w:tbl>
      <w:tblPr>
        <w:tblStyle w:val="36"/>
        <w:tblW w:w="8352" w:type="dxa"/>
        <w:jc w:val="center"/>
        <w:tblLayout w:type="fixed"/>
        <w:tblCellMar>
          <w:top w:w="0" w:type="dxa"/>
          <w:left w:w="0" w:type="dxa"/>
          <w:bottom w:w="0" w:type="dxa"/>
          <w:right w:w="0" w:type="dxa"/>
        </w:tblCellMar>
      </w:tblPr>
      <w:tblGrid>
        <w:gridCol w:w="1351"/>
        <w:gridCol w:w="597"/>
        <w:gridCol w:w="973"/>
        <w:gridCol w:w="677"/>
        <w:gridCol w:w="874"/>
        <w:gridCol w:w="1365"/>
        <w:gridCol w:w="196"/>
        <w:gridCol w:w="2319"/>
      </w:tblGrid>
      <w:tr w14:paraId="049BF303">
        <w:tblPrEx>
          <w:tblCellMar>
            <w:top w:w="0" w:type="dxa"/>
            <w:left w:w="0" w:type="dxa"/>
            <w:bottom w:w="0" w:type="dxa"/>
            <w:right w:w="0" w:type="dxa"/>
          </w:tblCellMar>
        </w:tblPrEx>
        <w:trPr>
          <w:trHeight w:val="750"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0C3D29AB">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姓  名</w:t>
            </w:r>
          </w:p>
        </w:tc>
        <w:tc>
          <w:tcPr>
            <w:tcW w:w="1570"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D2DD2DE">
            <w:pPr>
              <w:jc w:val="center"/>
              <w:rPr>
                <w:rFonts w:ascii="仿宋" w:hAnsi="仿宋" w:eastAsia="仿宋" w:cs="仿宋"/>
                <w:color w:val="auto"/>
                <w:sz w:val="22"/>
                <w:szCs w:val="24"/>
                <w:highlight w:val="none"/>
              </w:rPr>
            </w:pPr>
          </w:p>
        </w:tc>
        <w:tc>
          <w:tcPr>
            <w:tcW w:w="677" w:type="dxa"/>
            <w:tcBorders>
              <w:top w:val="single" w:color="auto" w:sz="8" w:space="0"/>
              <w:left w:val="single" w:color="auto" w:sz="8" w:space="0"/>
              <w:bottom w:val="single" w:color="auto" w:sz="8" w:space="0"/>
              <w:right w:val="single" w:color="auto" w:sz="8" w:space="0"/>
            </w:tcBorders>
            <w:shd w:val="clear" w:color="auto" w:fill="auto"/>
            <w:vAlign w:val="center"/>
          </w:tcPr>
          <w:p w14:paraId="2137BFD5">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性别</w:t>
            </w:r>
          </w:p>
        </w:tc>
        <w:tc>
          <w:tcPr>
            <w:tcW w:w="874" w:type="dxa"/>
            <w:tcBorders>
              <w:top w:val="single" w:color="auto" w:sz="8" w:space="0"/>
              <w:left w:val="single" w:color="auto" w:sz="8" w:space="0"/>
              <w:bottom w:val="single" w:color="auto" w:sz="8" w:space="0"/>
              <w:right w:val="single" w:color="auto" w:sz="8" w:space="0"/>
            </w:tcBorders>
            <w:shd w:val="clear" w:color="auto" w:fill="auto"/>
            <w:vAlign w:val="center"/>
          </w:tcPr>
          <w:p w14:paraId="08EE60D9">
            <w:pPr>
              <w:jc w:val="center"/>
              <w:rPr>
                <w:rFonts w:ascii="仿宋" w:hAnsi="仿宋" w:eastAsia="仿宋" w:cs="仿宋"/>
                <w:color w:val="auto"/>
                <w:sz w:val="22"/>
                <w:szCs w:val="24"/>
                <w:highlight w:val="none"/>
              </w:rPr>
            </w:pPr>
          </w:p>
        </w:tc>
        <w:tc>
          <w:tcPr>
            <w:tcW w:w="1561"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29BDBCA1">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出生</w:t>
            </w:r>
          </w:p>
          <w:p w14:paraId="6FD3D409">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日期</w:t>
            </w:r>
          </w:p>
        </w:tc>
        <w:tc>
          <w:tcPr>
            <w:tcW w:w="2319" w:type="dxa"/>
            <w:tcBorders>
              <w:top w:val="single" w:color="auto" w:sz="8" w:space="0"/>
              <w:left w:val="single" w:color="auto" w:sz="8" w:space="0"/>
              <w:bottom w:val="single" w:color="auto" w:sz="8" w:space="0"/>
              <w:right w:val="single" w:color="auto" w:sz="8" w:space="0"/>
            </w:tcBorders>
            <w:shd w:val="clear" w:color="auto" w:fill="auto"/>
            <w:vAlign w:val="center"/>
          </w:tcPr>
          <w:p w14:paraId="5FC20057">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年  月  日</w:t>
            </w:r>
          </w:p>
        </w:tc>
      </w:tr>
      <w:tr w14:paraId="3E7974F8">
        <w:tblPrEx>
          <w:tblCellMar>
            <w:top w:w="0" w:type="dxa"/>
            <w:left w:w="0" w:type="dxa"/>
            <w:bottom w:w="0" w:type="dxa"/>
            <w:right w:w="0" w:type="dxa"/>
          </w:tblCellMar>
        </w:tblPrEx>
        <w:trPr>
          <w:trHeight w:val="786"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6D8621CE">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毕业院校及    专业</w:t>
            </w:r>
          </w:p>
          <w:p w14:paraId="416D6180">
            <w:pPr>
              <w:jc w:val="center"/>
              <w:rPr>
                <w:rFonts w:ascii="仿宋" w:hAnsi="仿宋" w:eastAsia="仿宋" w:cs="仿宋"/>
                <w:color w:val="auto"/>
                <w:sz w:val="22"/>
                <w:szCs w:val="24"/>
                <w:highlight w:val="none"/>
              </w:rPr>
            </w:pPr>
          </w:p>
        </w:tc>
        <w:tc>
          <w:tcPr>
            <w:tcW w:w="3121"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733B239C">
            <w:pPr>
              <w:jc w:val="center"/>
              <w:rPr>
                <w:rFonts w:ascii="仿宋" w:hAnsi="仿宋" w:eastAsia="仿宋" w:cs="仿宋"/>
                <w:color w:val="auto"/>
                <w:sz w:val="22"/>
                <w:szCs w:val="24"/>
                <w:highlight w:val="none"/>
              </w:rPr>
            </w:pPr>
          </w:p>
        </w:tc>
        <w:tc>
          <w:tcPr>
            <w:tcW w:w="1561"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2EA4DCC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毕业</w:t>
            </w:r>
          </w:p>
          <w:p w14:paraId="46D384EA">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时间</w:t>
            </w:r>
          </w:p>
        </w:tc>
        <w:tc>
          <w:tcPr>
            <w:tcW w:w="2319" w:type="dxa"/>
            <w:tcBorders>
              <w:top w:val="single" w:color="auto" w:sz="8" w:space="0"/>
              <w:left w:val="single" w:color="auto" w:sz="8" w:space="0"/>
              <w:bottom w:val="single" w:color="auto" w:sz="8" w:space="0"/>
              <w:right w:val="single" w:color="auto" w:sz="8" w:space="0"/>
            </w:tcBorders>
            <w:shd w:val="clear" w:color="auto" w:fill="auto"/>
            <w:vAlign w:val="center"/>
          </w:tcPr>
          <w:p w14:paraId="1C095168">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年  月  日</w:t>
            </w:r>
          </w:p>
        </w:tc>
      </w:tr>
      <w:tr w14:paraId="6B875B04">
        <w:tblPrEx>
          <w:tblCellMar>
            <w:top w:w="0" w:type="dxa"/>
            <w:left w:w="0" w:type="dxa"/>
            <w:bottom w:w="0" w:type="dxa"/>
            <w:right w:w="0" w:type="dxa"/>
          </w:tblCellMar>
        </w:tblPrEx>
        <w:trPr>
          <w:trHeight w:val="768"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7C37B1E7">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从事本专业    时间</w:t>
            </w:r>
          </w:p>
          <w:p w14:paraId="03CCFF3C">
            <w:pPr>
              <w:jc w:val="center"/>
              <w:rPr>
                <w:rFonts w:ascii="仿宋" w:hAnsi="仿宋" w:eastAsia="仿宋" w:cs="仿宋"/>
                <w:color w:val="auto"/>
                <w:sz w:val="22"/>
                <w:szCs w:val="24"/>
                <w:highlight w:val="none"/>
              </w:rPr>
            </w:pPr>
          </w:p>
        </w:tc>
        <w:tc>
          <w:tcPr>
            <w:tcW w:w="3121"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0B1D7BBB">
            <w:pPr>
              <w:jc w:val="center"/>
              <w:rPr>
                <w:rFonts w:ascii="仿宋" w:hAnsi="仿宋" w:eastAsia="仿宋" w:cs="仿宋"/>
                <w:color w:val="auto"/>
                <w:sz w:val="22"/>
                <w:szCs w:val="24"/>
                <w:highlight w:val="none"/>
              </w:rPr>
            </w:pPr>
          </w:p>
        </w:tc>
        <w:tc>
          <w:tcPr>
            <w:tcW w:w="1561"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4200E6C2">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为申请人服务    时间</w:t>
            </w:r>
          </w:p>
          <w:p w14:paraId="33AB8742">
            <w:pPr>
              <w:jc w:val="center"/>
              <w:rPr>
                <w:rFonts w:ascii="仿宋" w:hAnsi="仿宋" w:eastAsia="仿宋" w:cs="仿宋"/>
                <w:color w:val="auto"/>
                <w:sz w:val="22"/>
                <w:szCs w:val="24"/>
                <w:highlight w:val="none"/>
              </w:rPr>
            </w:pPr>
          </w:p>
        </w:tc>
        <w:tc>
          <w:tcPr>
            <w:tcW w:w="2319" w:type="dxa"/>
            <w:tcBorders>
              <w:top w:val="single" w:color="auto" w:sz="8" w:space="0"/>
              <w:left w:val="single" w:color="auto" w:sz="8" w:space="0"/>
              <w:bottom w:val="single" w:color="auto" w:sz="8" w:space="0"/>
              <w:right w:val="single" w:color="auto" w:sz="8" w:space="0"/>
            </w:tcBorders>
            <w:shd w:val="clear" w:color="auto" w:fill="auto"/>
            <w:vAlign w:val="center"/>
          </w:tcPr>
          <w:p w14:paraId="3690E10A">
            <w:pPr>
              <w:jc w:val="center"/>
              <w:rPr>
                <w:rFonts w:ascii="仿宋" w:hAnsi="仿宋" w:eastAsia="仿宋" w:cs="仿宋"/>
                <w:color w:val="auto"/>
                <w:sz w:val="22"/>
                <w:szCs w:val="24"/>
                <w:highlight w:val="none"/>
              </w:rPr>
            </w:pPr>
          </w:p>
        </w:tc>
      </w:tr>
      <w:tr w14:paraId="4D40D929">
        <w:tblPrEx>
          <w:tblCellMar>
            <w:top w:w="0" w:type="dxa"/>
            <w:left w:w="0" w:type="dxa"/>
            <w:bottom w:w="0" w:type="dxa"/>
            <w:right w:w="0" w:type="dxa"/>
          </w:tblCellMar>
        </w:tblPrEx>
        <w:trPr>
          <w:trHeight w:val="647"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681C88FA">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执业注册</w:t>
            </w:r>
          </w:p>
        </w:tc>
        <w:tc>
          <w:tcPr>
            <w:tcW w:w="3121"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07181C2A">
            <w:pPr>
              <w:jc w:val="center"/>
              <w:rPr>
                <w:rFonts w:ascii="仿宋" w:hAnsi="仿宋" w:eastAsia="仿宋" w:cs="仿宋"/>
                <w:color w:val="auto"/>
                <w:sz w:val="22"/>
                <w:szCs w:val="24"/>
                <w:highlight w:val="none"/>
              </w:rPr>
            </w:pPr>
          </w:p>
        </w:tc>
        <w:tc>
          <w:tcPr>
            <w:tcW w:w="1561"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42C31CAA">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职称</w:t>
            </w:r>
          </w:p>
        </w:tc>
        <w:tc>
          <w:tcPr>
            <w:tcW w:w="2319" w:type="dxa"/>
            <w:tcBorders>
              <w:top w:val="single" w:color="auto" w:sz="8" w:space="0"/>
              <w:left w:val="single" w:color="auto" w:sz="8" w:space="0"/>
              <w:bottom w:val="single" w:color="auto" w:sz="8" w:space="0"/>
              <w:right w:val="single" w:color="auto" w:sz="8" w:space="0"/>
            </w:tcBorders>
            <w:shd w:val="clear" w:color="auto" w:fill="auto"/>
            <w:vAlign w:val="center"/>
          </w:tcPr>
          <w:p w14:paraId="51D7C6D8">
            <w:pPr>
              <w:jc w:val="center"/>
              <w:rPr>
                <w:rFonts w:ascii="仿宋" w:hAnsi="仿宋" w:eastAsia="仿宋" w:cs="仿宋"/>
                <w:color w:val="auto"/>
                <w:sz w:val="22"/>
                <w:szCs w:val="24"/>
                <w:highlight w:val="none"/>
              </w:rPr>
            </w:pPr>
          </w:p>
        </w:tc>
      </w:tr>
      <w:tr w14:paraId="29828B72">
        <w:tblPrEx>
          <w:tblCellMar>
            <w:top w:w="0" w:type="dxa"/>
            <w:left w:w="0" w:type="dxa"/>
            <w:bottom w:w="0" w:type="dxa"/>
            <w:right w:w="0" w:type="dxa"/>
          </w:tblCellMar>
        </w:tblPrEx>
        <w:trPr>
          <w:trHeight w:val="758"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27D45554">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在本项目中  担任任务</w:t>
            </w:r>
          </w:p>
          <w:p w14:paraId="01CCB3C2">
            <w:pPr>
              <w:jc w:val="center"/>
              <w:rPr>
                <w:rFonts w:ascii="仿宋" w:hAnsi="仿宋" w:eastAsia="仿宋" w:cs="仿宋"/>
                <w:color w:val="auto"/>
                <w:sz w:val="22"/>
                <w:szCs w:val="24"/>
                <w:highlight w:val="none"/>
              </w:rPr>
            </w:pPr>
          </w:p>
        </w:tc>
        <w:tc>
          <w:tcPr>
            <w:tcW w:w="7001" w:type="dxa"/>
            <w:gridSpan w:val="7"/>
            <w:tcBorders>
              <w:top w:val="single" w:color="auto" w:sz="8" w:space="0"/>
              <w:left w:val="single" w:color="auto" w:sz="8" w:space="0"/>
              <w:bottom w:val="single" w:color="auto" w:sz="8" w:space="0"/>
              <w:right w:val="single" w:color="auto" w:sz="8" w:space="0"/>
            </w:tcBorders>
            <w:shd w:val="clear" w:color="auto" w:fill="auto"/>
            <w:vAlign w:val="center"/>
          </w:tcPr>
          <w:p w14:paraId="5DA7397E">
            <w:pPr>
              <w:jc w:val="center"/>
              <w:rPr>
                <w:rFonts w:ascii="仿宋" w:hAnsi="仿宋" w:eastAsia="仿宋" w:cs="仿宋"/>
                <w:color w:val="auto"/>
                <w:sz w:val="22"/>
                <w:szCs w:val="24"/>
                <w:highlight w:val="none"/>
              </w:rPr>
            </w:pPr>
          </w:p>
        </w:tc>
      </w:tr>
      <w:tr w14:paraId="37F14773">
        <w:tblPrEx>
          <w:tblCellMar>
            <w:top w:w="0" w:type="dxa"/>
            <w:left w:w="0" w:type="dxa"/>
            <w:bottom w:w="0" w:type="dxa"/>
            <w:right w:w="0" w:type="dxa"/>
          </w:tblCellMar>
        </w:tblPrEx>
        <w:trPr>
          <w:cantSplit/>
          <w:trHeight w:val="457" w:hRule="exact"/>
          <w:jc w:val="center"/>
        </w:trPr>
        <w:tc>
          <w:tcPr>
            <w:tcW w:w="135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3623BC9B">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本</w:t>
            </w:r>
          </w:p>
          <w:p w14:paraId="09C33C29">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人</w:t>
            </w:r>
          </w:p>
          <w:p w14:paraId="4ABC22EE">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主</w:t>
            </w:r>
          </w:p>
          <w:p w14:paraId="761C4FB2">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要</w:t>
            </w:r>
          </w:p>
          <w:p w14:paraId="1295BBA1">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设</w:t>
            </w:r>
          </w:p>
          <w:p w14:paraId="521A864B">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计</w:t>
            </w:r>
          </w:p>
          <w:p w14:paraId="12ECEC74">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成</w:t>
            </w:r>
          </w:p>
          <w:p w14:paraId="2C4AAC27">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果</w:t>
            </w:r>
          </w:p>
          <w:p w14:paraId="1CD37B79">
            <w:pPr>
              <w:jc w:val="center"/>
              <w:rPr>
                <w:rFonts w:ascii="仿宋" w:hAnsi="仿宋" w:eastAsia="仿宋" w:cs="仿宋"/>
                <w:color w:val="auto"/>
                <w:sz w:val="22"/>
                <w:szCs w:val="24"/>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73A9759B">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1</w:t>
            </w:r>
          </w:p>
          <w:p w14:paraId="6B1E8794">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38354FDD">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工程项目名称及规模</w:t>
            </w:r>
          </w:p>
          <w:p w14:paraId="40BF9EF6">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7B2A709E">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完成年月</w:t>
            </w:r>
          </w:p>
          <w:p w14:paraId="03BB663D">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756F2ED">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在该项目中任何职</w:t>
            </w:r>
          </w:p>
          <w:p w14:paraId="4BD140B0">
            <w:pPr>
              <w:jc w:val="center"/>
              <w:rPr>
                <w:rFonts w:ascii="仿宋" w:hAnsi="仿宋" w:eastAsia="仿宋" w:cs="仿宋"/>
                <w:color w:val="auto"/>
                <w:sz w:val="22"/>
                <w:szCs w:val="24"/>
                <w:highlight w:val="none"/>
              </w:rPr>
            </w:pPr>
          </w:p>
        </w:tc>
      </w:tr>
      <w:tr w14:paraId="2706C2F0">
        <w:tblPrEx>
          <w:tblCellMar>
            <w:top w:w="0" w:type="dxa"/>
            <w:left w:w="0" w:type="dxa"/>
            <w:bottom w:w="0" w:type="dxa"/>
            <w:right w:w="0" w:type="dxa"/>
          </w:tblCellMar>
        </w:tblPrEx>
        <w:trPr>
          <w:cantSplit/>
          <w:trHeight w:val="33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17A4DC02">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7E71C0A6">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2</w:t>
            </w:r>
          </w:p>
          <w:p w14:paraId="2924749D">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4EA605C0">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6CB08A17">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A46003F">
            <w:pPr>
              <w:jc w:val="center"/>
              <w:rPr>
                <w:rFonts w:ascii="仿宋" w:hAnsi="仿宋" w:eastAsia="仿宋" w:cs="仿宋"/>
                <w:color w:val="auto"/>
                <w:sz w:val="22"/>
                <w:szCs w:val="24"/>
                <w:highlight w:val="none"/>
              </w:rPr>
            </w:pPr>
          </w:p>
        </w:tc>
      </w:tr>
      <w:tr w14:paraId="635AF772">
        <w:tblPrEx>
          <w:tblCellMar>
            <w:top w:w="0" w:type="dxa"/>
            <w:left w:w="0" w:type="dxa"/>
            <w:bottom w:w="0" w:type="dxa"/>
            <w:right w:w="0" w:type="dxa"/>
          </w:tblCellMar>
        </w:tblPrEx>
        <w:trPr>
          <w:cantSplit/>
          <w:trHeight w:val="31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24C6A850">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353AEBFD">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3</w:t>
            </w:r>
          </w:p>
          <w:p w14:paraId="4965E0D7">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1CD9333E">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137B75B4">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2DF41C6C">
            <w:pPr>
              <w:jc w:val="center"/>
              <w:rPr>
                <w:rFonts w:ascii="仿宋" w:hAnsi="仿宋" w:eastAsia="仿宋" w:cs="仿宋"/>
                <w:color w:val="auto"/>
                <w:sz w:val="22"/>
                <w:szCs w:val="24"/>
                <w:highlight w:val="none"/>
              </w:rPr>
            </w:pPr>
          </w:p>
        </w:tc>
      </w:tr>
      <w:tr w14:paraId="23D69D64">
        <w:tblPrEx>
          <w:tblCellMar>
            <w:top w:w="0" w:type="dxa"/>
            <w:left w:w="0" w:type="dxa"/>
            <w:bottom w:w="0" w:type="dxa"/>
            <w:right w:w="0" w:type="dxa"/>
          </w:tblCellMar>
        </w:tblPrEx>
        <w:trPr>
          <w:cantSplit/>
          <w:trHeight w:val="31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780F6C2B">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23E11429">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4</w:t>
            </w:r>
          </w:p>
          <w:p w14:paraId="4E25FB5F">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6BF29775">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43053BC4">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41914804">
            <w:pPr>
              <w:jc w:val="center"/>
              <w:rPr>
                <w:rFonts w:ascii="仿宋" w:hAnsi="仿宋" w:eastAsia="仿宋" w:cs="仿宋"/>
                <w:color w:val="auto"/>
                <w:sz w:val="22"/>
                <w:szCs w:val="24"/>
                <w:highlight w:val="none"/>
              </w:rPr>
            </w:pPr>
          </w:p>
        </w:tc>
      </w:tr>
      <w:tr w14:paraId="296002EB">
        <w:tblPrEx>
          <w:tblCellMar>
            <w:top w:w="0" w:type="dxa"/>
            <w:left w:w="0" w:type="dxa"/>
            <w:bottom w:w="0" w:type="dxa"/>
            <w:right w:w="0" w:type="dxa"/>
          </w:tblCellMar>
        </w:tblPrEx>
        <w:trPr>
          <w:cantSplit/>
          <w:trHeight w:val="33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1EA7AA0B">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109F39F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5</w:t>
            </w:r>
          </w:p>
          <w:p w14:paraId="7906C15F">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54F80C4E">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5D9B34DD">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60C5679B">
            <w:pPr>
              <w:jc w:val="center"/>
              <w:rPr>
                <w:rFonts w:ascii="仿宋" w:hAnsi="仿宋" w:eastAsia="仿宋" w:cs="仿宋"/>
                <w:color w:val="auto"/>
                <w:sz w:val="22"/>
                <w:szCs w:val="24"/>
                <w:highlight w:val="none"/>
              </w:rPr>
            </w:pPr>
          </w:p>
        </w:tc>
      </w:tr>
      <w:tr w14:paraId="067DAB6B">
        <w:tblPrEx>
          <w:tblCellMar>
            <w:top w:w="0" w:type="dxa"/>
            <w:left w:w="0" w:type="dxa"/>
            <w:bottom w:w="0" w:type="dxa"/>
            <w:right w:w="0" w:type="dxa"/>
          </w:tblCellMar>
        </w:tblPrEx>
        <w:trPr>
          <w:cantSplit/>
          <w:trHeight w:val="31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637A0047">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3DC5B36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6</w:t>
            </w:r>
          </w:p>
          <w:p w14:paraId="24C73E8D">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46F4F36A">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39F8E4D9">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47CDBF6">
            <w:pPr>
              <w:jc w:val="center"/>
              <w:rPr>
                <w:rFonts w:ascii="仿宋" w:hAnsi="仿宋" w:eastAsia="仿宋" w:cs="仿宋"/>
                <w:color w:val="auto"/>
                <w:sz w:val="22"/>
                <w:szCs w:val="24"/>
                <w:highlight w:val="none"/>
              </w:rPr>
            </w:pPr>
          </w:p>
        </w:tc>
      </w:tr>
      <w:tr w14:paraId="6DE4AB31">
        <w:tblPrEx>
          <w:tblCellMar>
            <w:top w:w="0" w:type="dxa"/>
            <w:left w:w="0" w:type="dxa"/>
            <w:bottom w:w="0" w:type="dxa"/>
            <w:right w:w="0" w:type="dxa"/>
          </w:tblCellMar>
        </w:tblPrEx>
        <w:trPr>
          <w:cantSplit/>
          <w:trHeight w:val="319"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75524E46">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26A87559">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7</w:t>
            </w:r>
          </w:p>
          <w:p w14:paraId="55E2F90D">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4F2DD0C1">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05C563B5">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6E6DDE9">
            <w:pPr>
              <w:jc w:val="center"/>
              <w:rPr>
                <w:rFonts w:ascii="仿宋" w:hAnsi="仿宋" w:eastAsia="仿宋" w:cs="仿宋"/>
                <w:color w:val="auto"/>
                <w:sz w:val="22"/>
                <w:szCs w:val="24"/>
                <w:highlight w:val="none"/>
              </w:rPr>
            </w:pPr>
          </w:p>
        </w:tc>
      </w:tr>
      <w:tr w14:paraId="26F7E898">
        <w:tblPrEx>
          <w:tblCellMar>
            <w:top w:w="0" w:type="dxa"/>
            <w:left w:w="0" w:type="dxa"/>
            <w:bottom w:w="0" w:type="dxa"/>
            <w:right w:w="0" w:type="dxa"/>
          </w:tblCellMar>
        </w:tblPrEx>
        <w:trPr>
          <w:cantSplit/>
          <w:trHeight w:val="517" w:hRule="exact"/>
          <w:jc w:val="center"/>
        </w:trPr>
        <w:tc>
          <w:tcPr>
            <w:tcW w:w="135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14:paraId="6D280C46">
            <w:pPr>
              <w:rPr>
                <w:rFonts w:ascii="仿宋" w:hAnsi="仿宋" w:eastAsia="仿宋" w:cs="仿宋"/>
                <w:color w:val="auto"/>
                <w:highlight w:val="none"/>
              </w:rPr>
            </w:pPr>
          </w:p>
        </w:tc>
        <w:tc>
          <w:tcPr>
            <w:tcW w:w="597" w:type="dxa"/>
            <w:tcBorders>
              <w:top w:val="single" w:color="auto" w:sz="8" w:space="0"/>
              <w:left w:val="single" w:color="auto" w:sz="8" w:space="0"/>
              <w:bottom w:val="single" w:color="auto" w:sz="8" w:space="0"/>
              <w:right w:val="single" w:color="auto" w:sz="8" w:space="0"/>
            </w:tcBorders>
            <w:shd w:val="clear" w:color="auto" w:fill="auto"/>
            <w:vAlign w:val="center"/>
          </w:tcPr>
          <w:p w14:paraId="557335DF">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8</w:t>
            </w:r>
          </w:p>
          <w:p w14:paraId="27481CDC">
            <w:pPr>
              <w:jc w:val="center"/>
              <w:rPr>
                <w:rFonts w:ascii="仿宋" w:hAnsi="仿宋" w:eastAsia="仿宋" w:cs="仿宋"/>
                <w:color w:val="auto"/>
                <w:sz w:val="22"/>
                <w:szCs w:val="24"/>
                <w:highlight w:val="none"/>
              </w:rPr>
            </w:pPr>
          </w:p>
        </w:tc>
        <w:tc>
          <w:tcPr>
            <w:tcW w:w="2524"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55A03E9E">
            <w:pPr>
              <w:jc w:val="center"/>
              <w:rPr>
                <w:rFonts w:ascii="仿宋" w:hAnsi="仿宋" w:eastAsia="仿宋" w:cs="仿宋"/>
                <w:color w:val="auto"/>
                <w:sz w:val="22"/>
                <w:szCs w:val="24"/>
                <w:highlight w:val="none"/>
              </w:rPr>
            </w:pPr>
          </w:p>
        </w:tc>
        <w:tc>
          <w:tcPr>
            <w:tcW w:w="1365" w:type="dxa"/>
            <w:tcBorders>
              <w:top w:val="single" w:color="auto" w:sz="8" w:space="0"/>
              <w:left w:val="single" w:color="auto" w:sz="8" w:space="0"/>
              <w:bottom w:val="single" w:color="auto" w:sz="8" w:space="0"/>
              <w:right w:val="single" w:color="auto" w:sz="8" w:space="0"/>
            </w:tcBorders>
            <w:shd w:val="clear" w:color="auto" w:fill="auto"/>
            <w:vAlign w:val="center"/>
          </w:tcPr>
          <w:p w14:paraId="1AC8D9AA">
            <w:pPr>
              <w:jc w:val="center"/>
              <w:rPr>
                <w:rFonts w:ascii="仿宋" w:hAnsi="仿宋" w:eastAsia="仿宋" w:cs="仿宋"/>
                <w:color w:val="auto"/>
                <w:sz w:val="22"/>
                <w:szCs w:val="24"/>
                <w:highlight w:val="none"/>
              </w:rPr>
            </w:pPr>
          </w:p>
        </w:tc>
        <w:tc>
          <w:tcPr>
            <w:tcW w:w="2515"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10A4313D">
            <w:pPr>
              <w:jc w:val="center"/>
              <w:rPr>
                <w:rFonts w:ascii="仿宋" w:hAnsi="仿宋" w:eastAsia="仿宋" w:cs="仿宋"/>
                <w:color w:val="auto"/>
                <w:sz w:val="22"/>
                <w:szCs w:val="24"/>
                <w:highlight w:val="none"/>
              </w:rPr>
            </w:pPr>
          </w:p>
        </w:tc>
      </w:tr>
      <w:tr w14:paraId="34F81836">
        <w:tblPrEx>
          <w:tblCellMar>
            <w:top w:w="0" w:type="dxa"/>
            <w:left w:w="0" w:type="dxa"/>
            <w:bottom w:w="0" w:type="dxa"/>
            <w:right w:w="0" w:type="dxa"/>
          </w:tblCellMar>
        </w:tblPrEx>
        <w:trPr>
          <w:trHeight w:val="2862"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7A706224">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本</w:t>
            </w:r>
          </w:p>
          <w:p w14:paraId="35BE47F9">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人</w:t>
            </w:r>
          </w:p>
          <w:p w14:paraId="5DDC241A">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主</w:t>
            </w:r>
          </w:p>
          <w:p w14:paraId="0E06DC78">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要</w:t>
            </w:r>
          </w:p>
          <w:p w14:paraId="30FC1AC3">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获</w:t>
            </w:r>
          </w:p>
          <w:p w14:paraId="177D58C6">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奖</w:t>
            </w:r>
          </w:p>
          <w:p w14:paraId="7652F2C0">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情</w:t>
            </w:r>
          </w:p>
          <w:p w14:paraId="49B84652">
            <w:pPr>
              <w:spacing w:line="340" w:lineRule="exact"/>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况</w:t>
            </w:r>
          </w:p>
        </w:tc>
        <w:tc>
          <w:tcPr>
            <w:tcW w:w="7001" w:type="dxa"/>
            <w:gridSpan w:val="7"/>
            <w:tcBorders>
              <w:top w:val="single" w:color="auto" w:sz="8" w:space="0"/>
              <w:left w:val="single" w:color="auto" w:sz="8" w:space="0"/>
              <w:bottom w:val="single" w:color="auto" w:sz="8" w:space="0"/>
              <w:right w:val="single" w:color="auto" w:sz="8" w:space="0"/>
            </w:tcBorders>
            <w:shd w:val="clear" w:color="auto" w:fill="auto"/>
            <w:vAlign w:val="center"/>
          </w:tcPr>
          <w:p w14:paraId="268CCBDA">
            <w:pPr>
              <w:jc w:val="center"/>
              <w:rPr>
                <w:rFonts w:ascii="仿宋" w:hAnsi="仿宋" w:eastAsia="仿宋" w:cs="仿宋"/>
                <w:color w:val="auto"/>
                <w:sz w:val="22"/>
                <w:szCs w:val="24"/>
                <w:highlight w:val="none"/>
              </w:rPr>
            </w:pPr>
          </w:p>
        </w:tc>
      </w:tr>
      <w:tr w14:paraId="3C90B4F0">
        <w:tblPrEx>
          <w:tblCellMar>
            <w:top w:w="0" w:type="dxa"/>
            <w:left w:w="0" w:type="dxa"/>
            <w:bottom w:w="0" w:type="dxa"/>
            <w:right w:w="0" w:type="dxa"/>
          </w:tblCellMar>
        </w:tblPrEx>
        <w:trPr>
          <w:trHeight w:val="991" w:hRule="exact"/>
          <w:jc w:val="center"/>
        </w:trPr>
        <w:tc>
          <w:tcPr>
            <w:tcW w:w="1351" w:type="dxa"/>
            <w:tcBorders>
              <w:top w:val="single" w:color="auto" w:sz="8" w:space="0"/>
              <w:left w:val="single" w:color="auto" w:sz="8" w:space="0"/>
              <w:bottom w:val="single" w:color="auto" w:sz="8" w:space="0"/>
              <w:right w:val="single" w:color="auto" w:sz="8" w:space="0"/>
            </w:tcBorders>
            <w:shd w:val="clear" w:color="auto" w:fill="auto"/>
            <w:vAlign w:val="center"/>
          </w:tcPr>
          <w:p w14:paraId="0296ACFA">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其它需</w:t>
            </w:r>
          </w:p>
          <w:p w14:paraId="4A6639BC">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补充的情况</w:t>
            </w:r>
          </w:p>
          <w:p w14:paraId="577DD7D3">
            <w:pPr>
              <w:jc w:val="center"/>
              <w:rPr>
                <w:rFonts w:ascii="仿宋" w:hAnsi="仿宋" w:eastAsia="仿宋" w:cs="仿宋"/>
                <w:color w:val="auto"/>
                <w:sz w:val="22"/>
                <w:szCs w:val="24"/>
                <w:highlight w:val="none"/>
              </w:rPr>
            </w:pPr>
          </w:p>
        </w:tc>
        <w:tc>
          <w:tcPr>
            <w:tcW w:w="7001" w:type="dxa"/>
            <w:gridSpan w:val="7"/>
            <w:tcBorders>
              <w:top w:val="single" w:color="auto" w:sz="8" w:space="0"/>
              <w:left w:val="single" w:color="auto" w:sz="8" w:space="0"/>
              <w:bottom w:val="single" w:color="auto" w:sz="8" w:space="0"/>
              <w:right w:val="single" w:color="auto" w:sz="8" w:space="0"/>
            </w:tcBorders>
            <w:shd w:val="clear" w:color="auto" w:fill="auto"/>
            <w:vAlign w:val="center"/>
          </w:tcPr>
          <w:p w14:paraId="659C976D">
            <w:pPr>
              <w:jc w:val="center"/>
              <w:rPr>
                <w:rFonts w:ascii="仿宋" w:hAnsi="仿宋" w:eastAsia="仿宋" w:cs="仿宋"/>
                <w:color w:val="auto"/>
                <w:sz w:val="22"/>
                <w:szCs w:val="24"/>
                <w:highlight w:val="none"/>
              </w:rPr>
            </w:pPr>
          </w:p>
        </w:tc>
      </w:tr>
    </w:tbl>
    <w:p w14:paraId="1A3EC264">
      <w:pPr>
        <w:rPr>
          <w:rFonts w:ascii="仿宋" w:hAnsi="仿宋" w:eastAsia="仿宋" w:cs="仿宋"/>
          <w:color w:val="auto"/>
          <w:sz w:val="24"/>
          <w:highlight w:val="none"/>
        </w:rPr>
      </w:pPr>
    </w:p>
    <w:p w14:paraId="180D145C">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投  标  人：</w:t>
      </w:r>
      <w:r>
        <w:rPr>
          <w:rFonts w:hint="eastAsia" w:ascii="仿宋" w:hAnsi="仿宋" w:eastAsia="仿宋" w:cs="仿宋"/>
          <w:color w:val="auto"/>
          <w:sz w:val="24"/>
          <w:szCs w:val="22"/>
          <w:highlight w:val="none"/>
          <w:u w:val="single"/>
        </w:rPr>
        <w:t>（盖公章）</w:t>
      </w:r>
    </w:p>
    <w:p w14:paraId="48A57425">
      <w:pPr>
        <w:ind w:left="2699"/>
        <w:rPr>
          <w:rFonts w:ascii="仿宋" w:hAnsi="仿宋" w:eastAsia="仿宋" w:cs="仿宋"/>
          <w:color w:val="auto"/>
          <w:sz w:val="24"/>
          <w:highlight w:val="none"/>
        </w:rPr>
      </w:pPr>
    </w:p>
    <w:p w14:paraId="460281BF">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法定代表人：</w:t>
      </w:r>
      <w:r>
        <w:rPr>
          <w:rFonts w:hint="eastAsia" w:ascii="仿宋" w:hAnsi="仿宋" w:eastAsia="仿宋" w:cs="仿宋"/>
          <w:color w:val="auto"/>
          <w:sz w:val="24"/>
          <w:szCs w:val="22"/>
          <w:highlight w:val="none"/>
          <w:u w:val="single"/>
        </w:rPr>
        <w:t>（签字或盖章）</w:t>
      </w:r>
    </w:p>
    <w:p w14:paraId="136237C7">
      <w:pPr>
        <w:spacing w:line="360" w:lineRule="exact"/>
        <w:rPr>
          <w:rFonts w:ascii="仿宋" w:hAnsi="仿宋" w:eastAsia="仿宋" w:cs="仿宋"/>
          <w:b/>
          <w:color w:val="auto"/>
          <w:szCs w:val="21"/>
          <w:highlight w:val="none"/>
        </w:rPr>
      </w:pPr>
    </w:p>
    <w:p w14:paraId="0B7BA80F">
      <w:pPr>
        <w:autoSpaceDE w:val="0"/>
        <w:autoSpaceDN w:val="0"/>
        <w:snapToGrid w:val="0"/>
        <w:spacing w:line="360" w:lineRule="auto"/>
        <w:rPr>
          <w:rFonts w:ascii="仿宋" w:hAnsi="仿宋" w:eastAsia="仿宋" w:cs="仿宋"/>
          <w:color w:val="auto"/>
          <w:spacing w:val="14"/>
          <w:szCs w:val="21"/>
          <w:highlight w:val="none"/>
        </w:rPr>
      </w:pPr>
      <w:r>
        <w:rPr>
          <w:rFonts w:hint="eastAsia" w:ascii="仿宋" w:hAnsi="仿宋" w:eastAsia="仿宋" w:cs="仿宋"/>
          <w:bCs/>
          <w:color w:val="auto"/>
          <w:sz w:val="24"/>
          <w:szCs w:val="24"/>
          <w:highlight w:val="none"/>
        </w:rPr>
        <w:t>日    期： 年 月日</w:t>
      </w:r>
    </w:p>
    <w:p w14:paraId="6FC0332D">
      <w:pPr>
        <w:jc w:val="center"/>
        <w:rPr>
          <w:rFonts w:ascii="仿宋" w:hAnsi="仿宋" w:eastAsia="仿宋" w:cs="仿宋"/>
          <w:b/>
          <w:color w:val="auto"/>
          <w:sz w:val="28"/>
          <w:szCs w:val="21"/>
          <w:highlight w:val="none"/>
        </w:rPr>
      </w:pPr>
    </w:p>
    <w:p w14:paraId="4DB80E1A">
      <w:pPr>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t>拟投入项目设计人员汇总表</w:t>
      </w:r>
    </w:p>
    <w:tbl>
      <w:tblPr>
        <w:tblStyle w:val="3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900"/>
        <w:gridCol w:w="720"/>
        <w:gridCol w:w="1260"/>
        <w:gridCol w:w="720"/>
        <w:gridCol w:w="720"/>
        <w:gridCol w:w="1260"/>
        <w:gridCol w:w="2474"/>
      </w:tblGrid>
      <w:tr w14:paraId="1B6A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738B9A1C">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序号</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1BF8CFC2">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姓名</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BC1FEB2">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性别</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8BAEB2D">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出生日期</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0D12C64">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学历</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1FD1B65">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专业</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7993A67C">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技术职称</w:t>
            </w: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43C19B31">
            <w:pPr>
              <w:jc w:val="center"/>
              <w:rPr>
                <w:rFonts w:ascii="仿宋" w:hAnsi="仿宋" w:eastAsia="仿宋" w:cs="仿宋"/>
                <w:color w:val="auto"/>
                <w:sz w:val="22"/>
                <w:szCs w:val="24"/>
                <w:highlight w:val="none"/>
              </w:rPr>
            </w:pPr>
            <w:r>
              <w:rPr>
                <w:rFonts w:hint="eastAsia" w:ascii="仿宋" w:hAnsi="仿宋" w:eastAsia="仿宋" w:cs="仿宋"/>
                <w:color w:val="auto"/>
                <w:sz w:val="22"/>
                <w:szCs w:val="24"/>
                <w:highlight w:val="none"/>
              </w:rPr>
              <w:t>在本项目拟任职务</w:t>
            </w:r>
          </w:p>
        </w:tc>
      </w:tr>
      <w:tr w14:paraId="14CF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48D2BEB9">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D4D4121">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FBB75D5">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7D7EB45">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993A309">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56AD4D8">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689D4DB">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554A2175">
            <w:pPr>
              <w:jc w:val="center"/>
              <w:rPr>
                <w:rFonts w:ascii="仿宋" w:hAnsi="仿宋" w:eastAsia="仿宋" w:cs="仿宋"/>
                <w:color w:val="auto"/>
                <w:sz w:val="22"/>
                <w:szCs w:val="24"/>
                <w:highlight w:val="none"/>
              </w:rPr>
            </w:pPr>
          </w:p>
        </w:tc>
      </w:tr>
      <w:tr w14:paraId="20D7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52FB425E">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59E3953">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15DF7E7">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4899B3BB">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D938EF1">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F6C735E">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788FBF8">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0AA088D5">
            <w:pPr>
              <w:jc w:val="center"/>
              <w:rPr>
                <w:rFonts w:ascii="仿宋" w:hAnsi="仿宋" w:eastAsia="仿宋" w:cs="仿宋"/>
                <w:color w:val="auto"/>
                <w:sz w:val="22"/>
                <w:szCs w:val="24"/>
                <w:highlight w:val="none"/>
              </w:rPr>
            </w:pPr>
          </w:p>
        </w:tc>
      </w:tr>
      <w:tr w14:paraId="1886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389CDE52">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FB800C5">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DB2BBFE">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941294A">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71B061D">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1FCEF3A">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F65F915">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29151422">
            <w:pPr>
              <w:jc w:val="center"/>
              <w:rPr>
                <w:rFonts w:ascii="仿宋" w:hAnsi="仿宋" w:eastAsia="仿宋" w:cs="仿宋"/>
                <w:color w:val="auto"/>
                <w:sz w:val="22"/>
                <w:szCs w:val="24"/>
                <w:highlight w:val="none"/>
              </w:rPr>
            </w:pPr>
          </w:p>
        </w:tc>
      </w:tr>
      <w:tr w14:paraId="4409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326936EC">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BCE6AFD">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333205C">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5DC4608B">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58CBADA">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E9F6547">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75DAC2E">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1627984E">
            <w:pPr>
              <w:jc w:val="center"/>
              <w:rPr>
                <w:rFonts w:ascii="仿宋" w:hAnsi="仿宋" w:eastAsia="仿宋" w:cs="仿宋"/>
                <w:color w:val="auto"/>
                <w:sz w:val="22"/>
                <w:szCs w:val="24"/>
                <w:highlight w:val="none"/>
              </w:rPr>
            </w:pPr>
          </w:p>
        </w:tc>
      </w:tr>
      <w:tr w14:paraId="134E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37DD2ADB">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D99FED0">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0CF3D1D">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DB57006">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4956BB9">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782B752">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917C1CE">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79375A66">
            <w:pPr>
              <w:jc w:val="center"/>
              <w:rPr>
                <w:rFonts w:ascii="仿宋" w:hAnsi="仿宋" w:eastAsia="仿宋" w:cs="仿宋"/>
                <w:color w:val="auto"/>
                <w:sz w:val="22"/>
                <w:szCs w:val="24"/>
                <w:highlight w:val="none"/>
              </w:rPr>
            </w:pPr>
          </w:p>
        </w:tc>
      </w:tr>
      <w:tr w14:paraId="6A83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0AE5AD39">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09DED41E">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F5C2BB5">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2A38DD9">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AB06E60">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2BDC0D2">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A071685">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7A1950BC">
            <w:pPr>
              <w:jc w:val="center"/>
              <w:rPr>
                <w:rFonts w:ascii="仿宋" w:hAnsi="仿宋" w:eastAsia="仿宋" w:cs="仿宋"/>
                <w:color w:val="auto"/>
                <w:sz w:val="22"/>
                <w:szCs w:val="24"/>
                <w:highlight w:val="none"/>
              </w:rPr>
            </w:pPr>
          </w:p>
        </w:tc>
      </w:tr>
      <w:tr w14:paraId="3E02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6D382FC9">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4CDF120D">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29B87E5">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396FEA7F">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DED3BF0">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6DC63CC">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19489458">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55F66841">
            <w:pPr>
              <w:jc w:val="center"/>
              <w:rPr>
                <w:rFonts w:ascii="仿宋" w:hAnsi="仿宋" w:eastAsia="仿宋" w:cs="仿宋"/>
                <w:color w:val="auto"/>
                <w:sz w:val="22"/>
                <w:szCs w:val="24"/>
                <w:highlight w:val="none"/>
              </w:rPr>
            </w:pPr>
          </w:p>
        </w:tc>
      </w:tr>
      <w:tr w14:paraId="08A2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638F8CBA">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7EC9DAF4">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A8BB419">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9EA7C04">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68A15ED">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EFAB97E">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241C1700">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6423170D">
            <w:pPr>
              <w:jc w:val="center"/>
              <w:rPr>
                <w:rFonts w:ascii="仿宋" w:hAnsi="仿宋" w:eastAsia="仿宋" w:cs="仿宋"/>
                <w:color w:val="auto"/>
                <w:sz w:val="22"/>
                <w:szCs w:val="24"/>
                <w:highlight w:val="none"/>
              </w:rPr>
            </w:pPr>
          </w:p>
        </w:tc>
      </w:tr>
      <w:tr w14:paraId="079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14:paraId="5F540271">
            <w:pPr>
              <w:jc w:val="center"/>
              <w:rPr>
                <w:rFonts w:ascii="仿宋" w:hAnsi="仿宋" w:eastAsia="仿宋" w:cs="仿宋"/>
                <w:color w:val="auto"/>
                <w:sz w:val="22"/>
                <w:szCs w:val="24"/>
                <w:highlight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5157D13E">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27FEC57">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6EB07CEF">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7758772">
            <w:pPr>
              <w:jc w:val="center"/>
              <w:rPr>
                <w:rFonts w:ascii="仿宋" w:hAnsi="仿宋" w:eastAsia="仿宋" w:cs="仿宋"/>
                <w:color w:val="auto"/>
                <w:sz w:val="22"/>
                <w:szCs w:val="24"/>
                <w:highlight w:val="none"/>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1020F8D5">
            <w:pPr>
              <w:jc w:val="center"/>
              <w:rPr>
                <w:rFonts w:ascii="仿宋" w:hAnsi="仿宋" w:eastAsia="仿宋" w:cs="仿宋"/>
                <w:color w:val="auto"/>
                <w:sz w:val="22"/>
                <w:szCs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14:paraId="0E3CD367">
            <w:pPr>
              <w:jc w:val="center"/>
              <w:rPr>
                <w:rFonts w:ascii="仿宋" w:hAnsi="仿宋" w:eastAsia="仿宋" w:cs="仿宋"/>
                <w:color w:val="auto"/>
                <w:sz w:val="22"/>
                <w:szCs w:val="24"/>
                <w:highlight w:val="none"/>
              </w:rPr>
            </w:pPr>
          </w:p>
        </w:tc>
        <w:tc>
          <w:tcPr>
            <w:tcW w:w="2474" w:type="dxa"/>
            <w:tcBorders>
              <w:top w:val="single" w:color="auto" w:sz="4" w:space="0"/>
              <w:left w:val="single" w:color="auto" w:sz="4" w:space="0"/>
              <w:bottom w:val="single" w:color="auto" w:sz="4" w:space="0"/>
              <w:right w:val="single" w:color="auto" w:sz="4" w:space="0"/>
            </w:tcBorders>
            <w:shd w:val="clear" w:color="auto" w:fill="auto"/>
            <w:vAlign w:val="center"/>
          </w:tcPr>
          <w:p w14:paraId="1D52B8DD">
            <w:pPr>
              <w:jc w:val="center"/>
              <w:rPr>
                <w:rFonts w:ascii="仿宋" w:hAnsi="仿宋" w:eastAsia="仿宋" w:cs="仿宋"/>
                <w:color w:val="auto"/>
                <w:sz w:val="22"/>
                <w:szCs w:val="24"/>
                <w:highlight w:val="none"/>
              </w:rPr>
            </w:pPr>
          </w:p>
        </w:tc>
      </w:tr>
    </w:tbl>
    <w:p w14:paraId="29709E93">
      <w:pPr>
        <w:rPr>
          <w:rFonts w:ascii="仿宋" w:hAnsi="仿宋" w:eastAsia="仿宋" w:cs="仿宋"/>
          <w:b/>
          <w:color w:val="auto"/>
          <w:szCs w:val="21"/>
          <w:highlight w:val="none"/>
        </w:rPr>
      </w:pPr>
    </w:p>
    <w:p w14:paraId="5FDCC26F">
      <w:pPr>
        <w:rPr>
          <w:rFonts w:ascii="仿宋" w:hAnsi="仿宋" w:eastAsia="仿宋" w:cs="仿宋"/>
          <w:b/>
          <w:color w:val="auto"/>
          <w:highlight w:val="none"/>
        </w:rPr>
      </w:pPr>
    </w:p>
    <w:p w14:paraId="5C432DAB">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投  标  人：</w:t>
      </w:r>
      <w:r>
        <w:rPr>
          <w:rFonts w:hint="eastAsia" w:ascii="仿宋" w:hAnsi="仿宋" w:eastAsia="仿宋" w:cs="仿宋"/>
          <w:color w:val="auto"/>
          <w:sz w:val="24"/>
          <w:szCs w:val="22"/>
          <w:highlight w:val="none"/>
          <w:u w:val="single"/>
        </w:rPr>
        <w:t>（盖公章）</w:t>
      </w:r>
    </w:p>
    <w:p w14:paraId="3A6699D9">
      <w:pPr>
        <w:ind w:left="2699"/>
        <w:rPr>
          <w:rFonts w:ascii="仿宋" w:hAnsi="仿宋" w:eastAsia="仿宋" w:cs="仿宋"/>
          <w:color w:val="auto"/>
          <w:sz w:val="24"/>
          <w:highlight w:val="none"/>
        </w:rPr>
      </w:pPr>
    </w:p>
    <w:p w14:paraId="1A8E18AC">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法定代表人：</w:t>
      </w:r>
      <w:r>
        <w:rPr>
          <w:rFonts w:hint="eastAsia" w:ascii="仿宋" w:hAnsi="仿宋" w:eastAsia="仿宋" w:cs="仿宋"/>
          <w:color w:val="auto"/>
          <w:sz w:val="24"/>
          <w:szCs w:val="22"/>
          <w:highlight w:val="none"/>
          <w:u w:val="single"/>
        </w:rPr>
        <w:t>（签字或盖章）</w:t>
      </w:r>
    </w:p>
    <w:p w14:paraId="69DCE70F">
      <w:pPr>
        <w:spacing w:line="360" w:lineRule="exact"/>
        <w:rPr>
          <w:rFonts w:ascii="仿宋" w:hAnsi="仿宋" w:eastAsia="仿宋" w:cs="仿宋"/>
          <w:b/>
          <w:color w:val="auto"/>
          <w:szCs w:val="21"/>
          <w:highlight w:val="none"/>
        </w:rPr>
      </w:pPr>
    </w:p>
    <w:p w14:paraId="590B8F80">
      <w:pPr>
        <w:autoSpaceDE w:val="0"/>
        <w:autoSpaceDN w:val="0"/>
        <w:snapToGrid w:val="0"/>
        <w:spacing w:line="360" w:lineRule="auto"/>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日    期： 年 月日</w:t>
      </w:r>
    </w:p>
    <w:p w14:paraId="4285F572">
      <w:pPr>
        <w:rPr>
          <w:rFonts w:ascii="仿宋" w:hAnsi="仿宋" w:eastAsia="仿宋" w:cs="仿宋"/>
          <w:color w:val="auto"/>
          <w:spacing w:val="14"/>
          <w:sz w:val="32"/>
          <w:szCs w:val="32"/>
          <w:highlight w:val="none"/>
        </w:rPr>
      </w:pPr>
      <w:r>
        <w:rPr>
          <w:rFonts w:hint="eastAsia" w:ascii="仿宋" w:hAnsi="仿宋" w:eastAsia="仿宋" w:cs="仿宋"/>
          <w:color w:val="auto"/>
          <w:spacing w:val="14"/>
          <w:sz w:val="32"/>
          <w:szCs w:val="32"/>
          <w:highlight w:val="none"/>
        </w:rPr>
        <w:br w:type="page"/>
      </w:r>
    </w:p>
    <w:p w14:paraId="6BE9B0B1">
      <w:pPr>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t>拟投入主要设计人员简历表</w:t>
      </w:r>
    </w:p>
    <w:tbl>
      <w:tblPr>
        <w:tblStyle w:val="36"/>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1167"/>
        <w:gridCol w:w="1052"/>
        <w:gridCol w:w="842"/>
        <w:gridCol w:w="360"/>
        <w:gridCol w:w="900"/>
        <w:gridCol w:w="2269"/>
      </w:tblGrid>
      <w:tr w14:paraId="2BBE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2A73814C">
            <w:pPr>
              <w:jc w:val="center"/>
              <w:rPr>
                <w:rFonts w:ascii="仿宋" w:hAnsi="仿宋" w:eastAsia="仿宋" w:cs="仿宋"/>
                <w:color w:val="auto"/>
                <w:sz w:val="22"/>
                <w:highlight w:val="none"/>
              </w:rPr>
            </w:pPr>
            <w:r>
              <w:rPr>
                <w:rFonts w:hint="eastAsia" w:ascii="仿宋" w:hAnsi="仿宋" w:eastAsia="仿宋" w:cs="仿宋"/>
                <w:color w:val="auto"/>
                <w:sz w:val="22"/>
                <w:highlight w:val="none"/>
              </w:rPr>
              <w:t>姓  名</w:t>
            </w:r>
          </w:p>
        </w:tc>
        <w:tc>
          <w:tcPr>
            <w:tcW w:w="1167" w:type="dxa"/>
            <w:tcBorders>
              <w:top w:val="single" w:color="auto" w:sz="4" w:space="0"/>
              <w:left w:val="single" w:color="auto" w:sz="4" w:space="0"/>
              <w:bottom w:val="single" w:color="auto" w:sz="4" w:space="0"/>
              <w:right w:val="single" w:color="auto" w:sz="4" w:space="0"/>
            </w:tcBorders>
            <w:shd w:val="clear" w:color="auto" w:fill="auto"/>
            <w:vAlign w:val="center"/>
          </w:tcPr>
          <w:p w14:paraId="6CD08F1E">
            <w:pPr>
              <w:jc w:val="center"/>
              <w:rPr>
                <w:rFonts w:ascii="仿宋" w:hAnsi="仿宋" w:eastAsia="仿宋" w:cs="仿宋"/>
                <w:color w:val="auto"/>
                <w:sz w:val="22"/>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14:paraId="44E9FEF5">
            <w:pPr>
              <w:jc w:val="center"/>
              <w:rPr>
                <w:rFonts w:ascii="仿宋" w:hAnsi="仿宋" w:eastAsia="仿宋" w:cs="仿宋"/>
                <w:color w:val="auto"/>
                <w:sz w:val="22"/>
                <w:highlight w:val="none"/>
              </w:rPr>
            </w:pPr>
            <w:r>
              <w:rPr>
                <w:rFonts w:hint="eastAsia" w:ascii="仿宋" w:hAnsi="仿宋" w:eastAsia="仿宋" w:cs="仿宋"/>
                <w:color w:val="auto"/>
                <w:sz w:val="22"/>
                <w:highlight w:val="none"/>
              </w:rPr>
              <w:t>性别</w:t>
            </w:r>
          </w:p>
        </w:tc>
        <w:tc>
          <w:tcPr>
            <w:tcW w:w="842" w:type="dxa"/>
            <w:tcBorders>
              <w:top w:val="single" w:color="auto" w:sz="4" w:space="0"/>
              <w:left w:val="single" w:color="auto" w:sz="4" w:space="0"/>
              <w:bottom w:val="single" w:color="auto" w:sz="4" w:space="0"/>
              <w:right w:val="single" w:color="auto" w:sz="4" w:space="0"/>
            </w:tcBorders>
            <w:shd w:val="clear" w:color="auto" w:fill="auto"/>
            <w:vAlign w:val="center"/>
          </w:tcPr>
          <w:p w14:paraId="2BCE7060">
            <w:pPr>
              <w:jc w:val="center"/>
              <w:rPr>
                <w:rFonts w:ascii="仿宋" w:hAnsi="仿宋" w:eastAsia="仿宋" w:cs="仿宋"/>
                <w:color w:val="auto"/>
                <w:sz w:val="22"/>
                <w:highlight w:val="none"/>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95E5F3">
            <w:pPr>
              <w:jc w:val="center"/>
              <w:rPr>
                <w:rFonts w:ascii="仿宋" w:hAnsi="仿宋" w:eastAsia="仿宋" w:cs="仿宋"/>
                <w:color w:val="auto"/>
                <w:sz w:val="22"/>
                <w:highlight w:val="none"/>
              </w:rPr>
            </w:pPr>
            <w:r>
              <w:rPr>
                <w:rFonts w:hint="eastAsia" w:ascii="仿宋" w:hAnsi="仿宋" w:eastAsia="仿宋" w:cs="仿宋"/>
                <w:color w:val="auto"/>
                <w:sz w:val="22"/>
                <w:highlight w:val="none"/>
              </w:rPr>
              <w:t>出生日期</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6F36739B">
            <w:pPr>
              <w:jc w:val="center"/>
              <w:rPr>
                <w:rFonts w:ascii="仿宋" w:hAnsi="仿宋" w:eastAsia="仿宋" w:cs="仿宋"/>
                <w:color w:val="auto"/>
                <w:sz w:val="22"/>
                <w:highlight w:val="none"/>
              </w:rPr>
            </w:pPr>
            <w:r>
              <w:rPr>
                <w:rFonts w:hint="eastAsia" w:ascii="仿宋" w:hAnsi="仿宋" w:eastAsia="仿宋" w:cs="仿宋"/>
                <w:color w:val="auto"/>
                <w:sz w:val="22"/>
                <w:highlight w:val="none"/>
              </w:rPr>
              <w:t>年  月   日</w:t>
            </w:r>
          </w:p>
        </w:tc>
      </w:tr>
      <w:tr w14:paraId="2751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6CB7D79E">
            <w:pPr>
              <w:jc w:val="center"/>
              <w:rPr>
                <w:rFonts w:ascii="仿宋" w:hAnsi="仿宋" w:eastAsia="仿宋" w:cs="仿宋"/>
                <w:color w:val="auto"/>
                <w:sz w:val="22"/>
                <w:highlight w:val="none"/>
              </w:rPr>
            </w:pPr>
            <w:r>
              <w:rPr>
                <w:rFonts w:hint="eastAsia" w:ascii="仿宋" w:hAnsi="仿宋" w:eastAsia="仿宋" w:cs="仿宋"/>
                <w:color w:val="auto"/>
                <w:sz w:val="22"/>
                <w:highlight w:val="none"/>
              </w:rPr>
              <w:t>毕业院校专业</w:t>
            </w:r>
          </w:p>
        </w:tc>
        <w:tc>
          <w:tcPr>
            <w:tcW w:w="30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5BD46C">
            <w:pPr>
              <w:jc w:val="center"/>
              <w:rPr>
                <w:rFonts w:ascii="仿宋" w:hAnsi="仿宋" w:eastAsia="仿宋" w:cs="仿宋"/>
                <w:color w:val="auto"/>
                <w:sz w:val="22"/>
                <w:highlight w:val="none"/>
              </w:rPr>
            </w:pP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83B054">
            <w:pPr>
              <w:jc w:val="center"/>
              <w:rPr>
                <w:rFonts w:ascii="仿宋" w:hAnsi="仿宋" w:eastAsia="仿宋" w:cs="仿宋"/>
                <w:color w:val="auto"/>
                <w:sz w:val="22"/>
                <w:highlight w:val="none"/>
              </w:rPr>
            </w:pPr>
            <w:r>
              <w:rPr>
                <w:rFonts w:hint="eastAsia" w:ascii="仿宋" w:hAnsi="仿宋" w:eastAsia="仿宋" w:cs="仿宋"/>
                <w:color w:val="auto"/>
                <w:sz w:val="22"/>
                <w:highlight w:val="none"/>
              </w:rPr>
              <w:t>毕业时间</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542998B0">
            <w:pPr>
              <w:ind w:firstLine="440" w:firstLineChars="200"/>
              <w:rPr>
                <w:rFonts w:ascii="仿宋" w:hAnsi="仿宋" w:eastAsia="仿宋" w:cs="仿宋"/>
                <w:color w:val="auto"/>
                <w:sz w:val="22"/>
                <w:highlight w:val="none"/>
              </w:rPr>
            </w:pPr>
            <w:r>
              <w:rPr>
                <w:rFonts w:hint="eastAsia" w:ascii="仿宋" w:hAnsi="仿宋" w:eastAsia="仿宋" w:cs="仿宋"/>
                <w:color w:val="auto"/>
                <w:sz w:val="22"/>
                <w:highlight w:val="none"/>
              </w:rPr>
              <w:t>年  月   日</w:t>
            </w:r>
          </w:p>
        </w:tc>
      </w:tr>
      <w:tr w14:paraId="1197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5BFE39A7">
            <w:pPr>
              <w:jc w:val="center"/>
              <w:rPr>
                <w:rFonts w:ascii="仿宋" w:hAnsi="仿宋" w:eastAsia="仿宋" w:cs="仿宋"/>
                <w:color w:val="auto"/>
                <w:sz w:val="22"/>
                <w:highlight w:val="none"/>
              </w:rPr>
            </w:pPr>
            <w:r>
              <w:rPr>
                <w:rFonts w:hint="eastAsia" w:ascii="仿宋" w:hAnsi="仿宋" w:eastAsia="仿宋" w:cs="仿宋"/>
                <w:color w:val="auto"/>
                <w:sz w:val="22"/>
                <w:highlight w:val="none"/>
              </w:rPr>
              <w:t>从事本专业时间</w:t>
            </w:r>
          </w:p>
        </w:tc>
        <w:tc>
          <w:tcPr>
            <w:tcW w:w="2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AF82D5">
            <w:pPr>
              <w:jc w:val="center"/>
              <w:rPr>
                <w:rFonts w:ascii="仿宋" w:hAnsi="仿宋" w:eastAsia="仿宋" w:cs="仿宋"/>
                <w:color w:val="auto"/>
                <w:sz w:val="22"/>
                <w:highlight w:val="none"/>
              </w:rPr>
            </w:pPr>
          </w:p>
        </w:tc>
        <w:tc>
          <w:tcPr>
            <w:tcW w:w="21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E5C663">
            <w:pPr>
              <w:jc w:val="center"/>
              <w:rPr>
                <w:rFonts w:ascii="仿宋" w:hAnsi="仿宋" w:eastAsia="仿宋" w:cs="仿宋"/>
                <w:color w:val="auto"/>
                <w:sz w:val="22"/>
                <w:highlight w:val="none"/>
              </w:rPr>
            </w:pPr>
            <w:r>
              <w:rPr>
                <w:rFonts w:hint="eastAsia" w:ascii="仿宋" w:hAnsi="仿宋" w:eastAsia="仿宋" w:cs="仿宋"/>
                <w:color w:val="auto"/>
                <w:sz w:val="22"/>
                <w:highlight w:val="none"/>
              </w:rPr>
              <w:t>为申请人服务时间</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23DDA49C">
            <w:pPr>
              <w:jc w:val="center"/>
              <w:rPr>
                <w:rFonts w:ascii="仿宋" w:hAnsi="仿宋" w:eastAsia="仿宋" w:cs="仿宋"/>
                <w:color w:val="auto"/>
                <w:sz w:val="22"/>
                <w:highlight w:val="none"/>
              </w:rPr>
            </w:pPr>
          </w:p>
        </w:tc>
      </w:tr>
      <w:tr w14:paraId="04A8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5DE4C774">
            <w:pPr>
              <w:jc w:val="center"/>
              <w:rPr>
                <w:rFonts w:ascii="仿宋" w:hAnsi="仿宋" w:eastAsia="仿宋" w:cs="仿宋"/>
                <w:color w:val="auto"/>
                <w:sz w:val="22"/>
                <w:highlight w:val="none"/>
              </w:rPr>
            </w:pPr>
            <w:r>
              <w:rPr>
                <w:rFonts w:hint="eastAsia" w:ascii="仿宋" w:hAnsi="仿宋" w:eastAsia="仿宋" w:cs="仿宋"/>
                <w:color w:val="auto"/>
                <w:sz w:val="22"/>
                <w:highlight w:val="none"/>
              </w:rPr>
              <w:t>执业注册</w:t>
            </w:r>
          </w:p>
        </w:tc>
        <w:tc>
          <w:tcPr>
            <w:tcW w:w="221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BA62BD">
            <w:pPr>
              <w:jc w:val="center"/>
              <w:rPr>
                <w:rFonts w:ascii="仿宋" w:hAnsi="仿宋" w:eastAsia="仿宋" w:cs="仿宋"/>
                <w:color w:val="auto"/>
                <w:sz w:val="22"/>
                <w:highlight w:val="none"/>
              </w:rPr>
            </w:pPr>
          </w:p>
        </w:tc>
        <w:tc>
          <w:tcPr>
            <w:tcW w:w="21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76CC49">
            <w:pPr>
              <w:jc w:val="center"/>
              <w:rPr>
                <w:rFonts w:ascii="仿宋" w:hAnsi="仿宋" w:eastAsia="仿宋" w:cs="仿宋"/>
                <w:color w:val="auto"/>
                <w:sz w:val="22"/>
                <w:highlight w:val="none"/>
              </w:rPr>
            </w:pPr>
            <w:r>
              <w:rPr>
                <w:rFonts w:hint="eastAsia" w:ascii="仿宋" w:hAnsi="仿宋" w:eastAsia="仿宋" w:cs="仿宋"/>
                <w:color w:val="auto"/>
                <w:sz w:val="22"/>
                <w:highlight w:val="none"/>
              </w:rPr>
              <w:t>职    称</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4583240A">
            <w:pPr>
              <w:jc w:val="center"/>
              <w:rPr>
                <w:rFonts w:ascii="仿宋" w:hAnsi="仿宋" w:eastAsia="仿宋" w:cs="仿宋"/>
                <w:color w:val="auto"/>
                <w:sz w:val="22"/>
                <w:highlight w:val="none"/>
              </w:rPr>
            </w:pPr>
          </w:p>
        </w:tc>
      </w:tr>
      <w:tr w14:paraId="02B3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12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0BF857">
            <w:pPr>
              <w:jc w:val="center"/>
              <w:rPr>
                <w:rFonts w:ascii="仿宋" w:hAnsi="仿宋" w:eastAsia="仿宋" w:cs="仿宋"/>
                <w:color w:val="auto"/>
                <w:sz w:val="22"/>
                <w:highlight w:val="none"/>
              </w:rPr>
            </w:pPr>
            <w:r>
              <w:rPr>
                <w:rFonts w:hint="eastAsia" w:ascii="仿宋" w:hAnsi="仿宋" w:eastAsia="仿宋" w:cs="仿宋"/>
                <w:color w:val="auto"/>
                <w:sz w:val="22"/>
                <w:highlight w:val="none"/>
              </w:rPr>
              <w:t>在 本 项 目 拟 任 职 务</w:t>
            </w:r>
          </w:p>
        </w:tc>
        <w:tc>
          <w:tcPr>
            <w:tcW w:w="437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F2F50E">
            <w:pPr>
              <w:jc w:val="center"/>
              <w:rPr>
                <w:rFonts w:ascii="仿宋" w:hAnsi="仿宋" w:eastAsia="仿宋" w:cs="仿宋"/>
                <w:color w:val="auto"/>
                <w:sz w:val="22"/>
                <w:highlight w:val="none"/>
              </w:rPr>
            </w:pPr>
          </w:p>
        </w:tc>
      </w:tr>
      <w:tr w14:paraId="7FD6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093156C">
            <w:pPr>
              <w:jc w:val="center"/>
              <w:rPr>
                <w:rFonts w:ascii="仿宋" w:hAnsi="仿宋" w:eastAsia="仿宋" w:cs="仿宋"/>
                <w:color w:val="auto"/>
                <w:sz w:val="22"/>
                <w:highlight w:val="none"/>
              </w:rPr>
            </w:pPr>
            <w:r>
              <w:rPr>
                <w:rFonts w:hint="eastAsia" w:ascii="仿宋" w:hAnsi="仿宋" w:eastAsia="仿宋" w:cs="仿宋"/>
                <w:color w:val="auto"/>
                <w:sz w:val="22"/>
                <w:highlight w:val="none"/>
              </w:rPr>
              <w:t>主  要  经  历</w:t>
            </w:r>
          </w:p>
        </w:tc>
      </w:tr>
      <w:tr w14:paraId="0145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51906C9A">
            <w:pPr>
              <w:jc w:val="center"/>
              <w:rPr>
                <w:rFonts w:ascii="仿宋" w:hAnsi="仿宋" w:eastAsia="仿宋" w:cs="仿宋"/>
                <w:color w:val="auto"/>
                <w:sz w:val="22"/>
                <w:highlight w:val="none"/>
              </w:rPr>
            </w:pPr>
            <w:r>
              <w:rPr>
                <w:rFonts w:hint="eastAsia" w:ascii="仿宋" w:hAnsi="仿宋" w:eastAsia="仿宋" w:cs="仿宋"/>
                <w:color w:val="auto"/>
                <w:sz w:val="22"/>
                <w:highlight w:val="none"/>
              </w:rPr>
              <w:t>时  间</w:t>
            </w:r>
          </w:p>
        </w:tc>
        <w:tc>
          <w:tcPr>
            <w:tcW w:w="342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29DDA64">
            <w:pPr>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参加过的工程设计</w:t>
            </w:r>
          </w:p>
          <w:p w14:paraId="05F7D01E">
            <w:pPr>
              <w:jc w:val="center"/>
              <w:rPr>
                <w:rFonts w:ascii="仿宋" w:hAnsi="仿宋" w:eastAsia="仿宋" w:cs="仿宋"/>
                <w:color w:val="auto"/>
                <w:sz w:val="22"/>
                <w:highlight w:val="none"/>
              </w:rPr>
            </w:pPr>
            <w:r>
              <w:rPr>
                <w:rFonts w:hint="eastAsia" w:ascii="仿宋" w:hAnsi="仿宋" w:eastAsia="仿宋" w:cs="仿宋"/>
                <w:color w:val="auto"/>
                <w:sz w:val="22"/>
                <w:highlight w:val="none"/>
              </w:rPr>
              <w:t>项目名称及规模</w:t>
            </w:r>
          </w:p>
        </w:tc>
        <w:tc>
          <w:tcPr>
            <w:tcW w:w="31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60FCE7">
            <w:pPr>
              <w:jc w:val="center"/>
              <w:rPr>
                <w:rFonts w:ascii="仿宋" w:hAnsi="仿宋" w:eastAsia="仿宋" w:cs="仿宋"/>
                <w:color w:val="auto"/>
                <w:sz w:val="22"/>
                <w:highlight w:val="none"/>
              </w:rPr>
            </w:pPr>
            <w:r>
              <w:rPr>
                <w:rFonts w:hint="eastAsia" w:ascii="仿宋" w:hAnsi="仿宋" w:eastAsia="仿宋" w:cs="仿宋"/>
                <w:color w:val="auto"/>
                <w:sz w:val="22"/>
                <w:highlight w:val="none"/>
              </w:rPr>
              <w:t>该项目中任职</w:t>
            </w:r>
          </w:p>
        </w:tc>
      </w:tr>
      <w:tr w14:paraId="0DC0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jc w:val="center"/>
        </w:trPr>
        <w:tc>
          <w:tcPr>
            <w:tcW w:w="1907" w:type="dxa"/>
            <w:tcBorders>
              <w:top w:val="single" w:color="auto" w:sz="4" w:space="0"/>
              <w:left w:val="single" w:color="auto" w:sz="4" w:space="0"/>
              <w:bottom w:val="single" w:color="auto" w:sz="4" w:space="0"/>
              <w:right w:val="single" w:color="auto" w:sz="4" w:space="0"/>
            </w:tcBorders>
            <w:shd w:val="clear" w:color="auto" w:fill="auto"/>
            <w:vAlign w:val="center"/>
          </w:tcPr>
          <w:p w14:paraId="38A4FB97">
            <w:pPr>
              <w:jc w:val="center"/>
              <w:rPr>
                <w:rFonts w:ascii="仿宋" w:hAnsi="仿宋" w:eastAsia="仿宋" w:cs="仿宋"/>
                <w:color w:val="auto"/>
                <w:sz w:val="22"/>
                <w:highlight w:val="none"/>
              </w:rPr>
            </w:pPr>
          </w:p>
        </w:tc>
        <w:tc>
          <w:tcPr>
            <w:tcW w:w="342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9DAECCE">
            <w:pPr>
              <w:jc w:val="center"/>
              <w:rPr>
                <w:rFonts w:ascii="仿宋" w:hAnsi="仿宋" w:eastAsia="仿宋" w:cs="仿宋"/>
                <w:color w:val="auto"/>
                <w:sz w:val="22"/>
                <w:highlight w:val="none"/>
              </w:rPr>
            </w:pPr>
          </w:p>
        </w:tc>
        <w:tc>
          <w:tcPr>
            <w:tcW w:w="31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C85136">
            <w:pPr>
              <w:jc w:val="center"/>
              <w:rPr>
                <w:rFonts w:ascii="仿宋" w:hAnsi="仿宋" w:eastAsia="仿宋" w:cs="仿宋"/>
                <w:color w:val="auto"/>
                <w:sz w:val="22"/>
                <w:highlight w:val="none"/>
              </w:rPr>
            </w:pPr>
          </w:p>
        </w:tc>
      </w:tr>
    </w:tbl>
    <w:p w14:paraId="71F80AB3">
      <w:pPr>
        <w:rPr>
          <w:rFonts w:ascii="仿宋" w:hAnsi="仿宋" w:eastAsia="仿宋" w:cs="仿宋"/>
          <w:b/>
          <w:color w:val="auto"/>
          <w:highlight w:val="none"/>
        </w:rPr>
      </w:pPr>
    </w:p>
    <w:p w14:paraId="1E19EE7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（主要设计人员包括：总设计师、各专业负责人、并附职称或注册证书复印件）</w:t>
      </w:r>
    </w:p>
    <w:p w14:paraId="11D7E817">
      <w:pPr>
        <w:spacing w:line="360" w:lineRule="auto"/>
        <w:ind w:firstLine="480" w:firstLineChars="200"/>
        <w:rPr>
          <w:rFonts w:ascii="仿宋" w:hAnsi="仿宋" w:eastAsia="仿宋" w:cs="仿宋"/>
          <w:color w:val="auto"/>
          <w:sz w:val="24"/>
          <w:highlight w:val="none"/>
        </w:rPr>
      </w:pPr>
    </w:p>
    <w:p w14:paraId="1ABEA70B">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投  标  人：</w:t>
      </w:r>
      <w:r>
        <w:rPr>
          <w:rFonts w:hint="eastAsia" w:ascii="仿宋" w:hAnsi="仿宋" w:eastAsia="仿宋" w:cs="仿宋"/>
          <w:color w:val="auto"/>
          <w:sz w:val="24"/>
          <w:szCs w:val="22"/>
          <w:highlight w:val="none"/>
          <w:u w:val="single"/>
        </w:rPr>
        <w:t>（盖公章）</w:t>
      </w:r>
    </w:p>
    <w:p w14:paraId="6B8BA251">
      <w:pPr>
        <w:ind w:left="2699"/>
        <w:rPr>
          <w:rFonts w:ascii="仿宋" w:hAnsi="仿宋" w:eastAsia="仿宋" w:cs="仿宋"/>
          <w:color w:val="auto"/>
          <w:sz w:val="24"/>
          <w:highlight w:val="none"/>
        </w:rPr>
      </w:pPr>
    </w:p>
    <w:p w14:paraId="518B5B1F">
      <w:pPr>
        <w:rPr>
          <w:rFonts w:ascii="仿宋" w:hAnsi="仿宋" w:eastAsia="仿宋" w:cs="仿宋"/>
          <w:color w:val="auto"/>
          <w:sz w:val="24"/>
          <w:szCs w:val="22"/>
          <w:highlight w:val="none"/>
          <w:u w:val="single"/>
        </w:rPr>
      </w:pPr>
      <w:r>
        <w:rPr>
          <w:rFonts w:hint="eastAsia" w:ascii="仿宋" w:hAnsi="仿宋" w:eastAsia="仿宋" w:cs="仿宋"/>
          <w:color w:val="auto"/>
          <w:sz w:val="24"/>
          <w:highlight w:val="none"/>
        </w:rPr>
        <w:t>法定代表人：</w:t>
      </w:r>
      <w:r>
        <w:rPr>
          <w:rFonts w:hint="eastAsia" w:ascii="仿宋" w:hAnsi="仿宋" w:eastAsia="仿宋" w:cs="仿宋"/>
          <w:color w:val="auto"/>
          <w:sz w:val="24"/>
          <w:szCs w:val="22"/>
          <w:highlight w:val="none"/>
          <w:u w:val="single"/>
        </w:rPr>
        <w:t>（签字或盖章）</w:t>
      </w:r>
    </w:p>
    <w:p w14:paraId="26ACCB18">
      <w:pPr>
        <w:spacing w:line="360" w:lineRule="exact"/>
        <w:rPr>
          <w:rFonts w:ascii="仿宋" w:hAnsi="仿宋" w:eastAsia="仿宋" w:cs="仿宋"/>
          <w:b/>
          <w:color w:val="auto"/>
          <w:szCs w:val="21"/>
          <w:highlight w:val="none"/>
        </w:rPr>
      </w:pPr>
    </w:p>
    <w:p w14:paraId="58165DEA">
      <w:pPr>
        <w:autoSpaceDE w:val="0"/>
        <w:autoSpaceDN w:val="0"/>
        <w:snapToGrid w:val="0"/>
        <w:spacing w:line="360" w:lineRule="auto"/>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日    期： 年 月日</w:t>
      </w:r>
    </w:p>
    <w:p w14:paraId="4D7B1DD6">
      <w:pPr>
        <w:spacing w:line="360" w:lineRule="auto"/>
        <w:rPr>
          <w:rFonts w:ascii="仿宋" w:hAnsi="仿宋" w:eastAsia="仿宋" w:cs="仿宋"/>
          <w:b/>
          <w:color w:val="auto"/>
          <w:highlight w:val="none"/>
        </w:rPr>
      </w:pPr>
    </w:p>
    <w:p w14:paraId="287A131E">
      <w:pPr>
        <w:spacing w:line="360" w:lineRule="auto"/>
        <w:rPr>
          <w:rFonts w:ascii="仿宋" w:hAnsi="仿宋" w:eastAsia="仿宋" w:cs="仿宋"/>
          <w:b/>
          <w:color w:val="auto"/>
          <w:highlight w:val="none"/>
        </w:rPr>
      </w:pPr>
      <w:r>
        <w:rPr>
          <w:rFonts w:hint="eastAsia" w:ascii="仿宋" w:hAnsi="仿宋" w:eastAsia="仿宋" w:cs="仿宋"/>
          <w:b/>
          <w:color w:val="auto"/>
          <w:highlight w:val="none"/>
        </w:rPr>
        <w:t>注：1、投标人需随此表附上主要设计人员的职称证、执业资格证书等相关资料的复印件。</w:t>
      </w:r>
    </w:p>
    <w:p w14:paraId="169C3CC2">
      <w:pPr>
        <w:pStyle w:val="13"/>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br w:type="page"/>
      </w:r>
    </w:p>
    <w:p w14:paraId="6CFFF8D4">
      <w:pPr>
        <w:pStyle w:val="52"/>
        <w:ind w:left="400" w:firstLine="720"/>
        <w:rPr>
          <w:rFonts w:ascii="仿宋" w:hAnsi="仿宋" w:eastAsia="仿宋" w:cs="仿宋"/>
          <w:color w:val="auto"/>
          <w:sz w:val="36"/>
          <w:highlight w:val="none"/>
        </w:rPr>
      </w:pPr>
    </w:p>
    <w:p w14:paraId="0CEC1186">
      <w:pPr>
        <w:pStyle w:val="3"/>
        <w:widowControl/>
        <w:spacing w:line="360" w:lineRule="auto"/>
        <w:jc w:val="center"/>
        <w:rPr>
          <w:rFonts w:ascii="仿宋" w:hAnsi="仿宋" w:eastAsia="仿宋" w:cs="仿宋"/>
          <w:color w:val="auto"/>
          <w:sz w:val="30"/>
          <w:szCs w:val="30"/>
          <w:highlight w:val="none"/>
        </w:rPr>
      </w:pPr>
      <w:bookmarkStart w:id="103" w:name="_Toc5631"/>
      <w:r>
        <w:rPr>
          <w:rFonts w:hint="eastAsia" w:ascii="仿宋" w:hAnsi="仿宋" w:eastAsia="仿宋" w:cs="仿宋"/>
          <w:color w:val="auto"/>
          <w:sz w:val="30"/>
          <w:szCs w:val="30"/>
          <w:highlight w:val="none"/>
        </w:rPr>
        <w:t>三、商 务 标</w:t>
      </w:r>
      <w:bookmarkEnd w:id="103"/>
    </w:p>
    <w:p w14:paraId="1C77EE3E">
      <w:pPr>
        <w:spacing w:beforeLines="20" w:afterLines="20" w:line="360" w:lineRule="auto"/>
        <w:rPr>
          <w:rFonts w:ascii="仿宋" w:hAnsi="仿宋" w:eastAsia="仿宋" w:cs="仿宋"/>
          <w:b/>
          <w:color w:val="auto"/>
          <w:sz w:val="24"/>
          <w:highlight w:val="none"/>
          <w:u w:val="single"/>
        </w:rPr>
      </w:pPr>
      <w:r>
        <w:rPr>
          <w:rFonts w:hint="eastAsia" w:ascii="仿宋" w:hAnsi="仿宋" w:eastAsia="仿宋" w:cs="仿宋"/>
          <w:b/>
          <w:color w:val="auto"/>
          <w:sz w:val="24"/>
          <w:highlight w:val="none"/>
        </w:rPr>
        <w:t>设计招标</w:t>
      </w:r>
    </w:p>
    <w:p w14:paraId="5F53017D">
      <w:pPr>
        <w:pStyle w:val="31"/>
        <w:spacing w:beforeLines="20" w:afterLines="20" w:line="360" w:lineRule="auto"/>
        <w:rPr>
          <w:rFonts w:ascii="仿宋" w:hAnsi="仿宋" w:eastAsia="仿宋" w:cs="仿宋"/>
          <w:b/>
          <w:color w:val="auto"/>
          <w:szCs w:val="24"/>
          <w:highlight w:val="none"/>
        </w:rPr>
      </w:pPr>
    </w:p>
    <w:p w14:paraId="441490AD">
      <w:pPr>
        <w:pStyle w:val="31"/>
        <w:spacing w:beforeLines="20" w:afterLines="20" w:line="360"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投  标  文  件</w:t>
      </w:r>
    </w:p>
    <w:p w14:paraId="71453B0B">
      <w:pPr>
        <w:pStyle w:val="31"/>
        <w:spacing w:beforeLines="20" w:afterLines="20" w:line="360" w:lineRule="auto"/>
        <w:jc w:val="center"/>
        <w:rPr>
          <w:rFonts w:ascii="仿宋" w:hAnsi="仿宋" w:eastAsia="仿宋" w:cs="仿宋"/>
          <w:b/>
          <w:color w:val="auto"/>
          <w:highlight w:val="none"/>
        </w:rPr>
      </w:pPr>
      <w:r>
        <w:rPr>
          <w:rFonts w:hint="eastAsia" w:ascii="仿宋" w:hAnsi="仿宋" w:eastAsia="仿宋" w:cs="仿宋"/>
          <w:b/>
          <w:color w:val="auto"/>
          <w:highlight w:val="none"/>
        </w:rPr>
        <w:t>招标编号：</w:t>
      </w:r>
    </w:p>
    <w:p w14:paraId="43CFCC3E">
      <w:pPr>
        <w:pStyle w:val="31"/>
        <w:spacing w:beforeLines="20" w:afterLines="20" w:line="360" w:lineRule="auto"/>
        <w:jc w:val="center"/>
        <w:rPr>
          <w:rFonts w:ascii="仿宋" w:hAnsi="仿宋" w:eastAsia="仿宋" w:cs="仿宋"/>
          <w:color w:val="auto"/>
          <w:highlight w:val="none"/>
        </w:rPr>
      </w:pPr>
    </w:p>
    <w:p w14:paraId="45EE658A">
      <w:pPr>
        <w:pStyle w:val="31"/>
        <w:spacing w:beforeLines="20" w:afterLines="20" w:line="360" w:lineRule="auto"/>
        <w:jc w:val="center"/>
        <w:rPr>
          <w:rFonts w:ascii="仿宋" w:hAnsi="仿宋" w:eastAsia="仿宋" w:cs="仿宋"/>
          <w:color w:val="auto"/>
          <w:highlight w:val="none"/>
        </w:rPr>
      </w:pPr>
    </w:p>
    <w:p w14:paraId="1C5902A3">
      <w:pPr>
        <w:pStyle w:val="31"/>
        <w:spacing w:beforeLines="20" w:afterLines="20" w:line="360" w:lineRule="auto"/>
        <w:jc w:val="center"/>
        <w:rPr>
          <w:rFonts w:ascii="仿宋" w:hAnsi="仿宋" w:eastAsia="仿宋" w:cs="仿宋"/>
          <w:color w:val="auto"/>
          <w:highlight w:val="none"/>
        </w:rPr>
      </w:pPr>
    </w:p>
    <w:p w14:paraId="7CC0B894">
      <w:pPr>
        <w:pStyle w:val="31"/>
        <w:spacing w:beforeLines="20" w:afterLines="20" w:line="360" w:lineRule="auto"/>
        <w:jc w:val="both"/>
        <w:rPr>
          <w:rFonts w:ascii="仿宋" w:hAnsi="仿宋" w:eastAsia="仿宋" w:cs="仿宋"/>
          <w:color w:val="auto"/>
          <w:highlight w:val="none"/>
        </w:rPr>
      </w:pPr>
    </w:p>
    <w:p w14:paraId="0F8D087E">
      <w:pPr>
        <w:pStyle w:val="31"/>
        <w:spacing w:beforeLines="20" w:afterLines="20" w:line="360" w:lineRule="auto"/>
        <w:jc w:val="center"/>
        <w:rPr>
          <w:rFonts w:ascii="仿宋" w:hAnsi="仿宋" w:eastAsia="仿宋" w:cs="仿宋"/>
          <w:color w:val="auto"/>
          <w:highlight w:val="none"/>
        </w:rPr>
      </w:pPr>
    </w:p>
    <w:p w14:paraId="4DDA9F84">
      <w:pPr>
        <w:pStyle w:val="31"/>
        <w:spacing w:beforeLines="20" w:afterLines="20" w:line="360" w:lineRule="auto"/>
        <w:rPr>
          <w:rFonts w:ascii="仿宋" w:hAnsi="仿宋" w:eastAsia="仿宋" w:cs="仿宋"/>
          <w:color w:val="auto"/>
          <w:highlight w:val="none"/>
        </w:rPr>
      </w:pPr>
    </w:p>
    <w:p w14:paraId="43ACA6A1">
      <w:pPr>
        <w:pStyle w:val="31"/>
        <w:spacing w:beforeLines="20" w:afterLines="20" w:line="360" w:lineRule="auto"/>
        <w:rPr>
          <w:rFonts w:ascii="仿宋" w:hAnsi="仿宋" w:eastAsia="仿宋" w:cs="仿宋"/>
          <w:b/>
          <w:color w:val="auto"/>
          <w:szCs w:val="24"/>
          <w:highlight w:val="none"/>
          <w:u w:val="single"/>
        </w:rPr>
      </w:pPr>
      <w:bookmarkStart w:id="104" w:name="_Toc13229"/>
      <w:bookmarkStart w:id="105" w:name="_Toc241855739"/>
      <w:bookmarkStart w:id="106" w:name="_Toc7216"/>
      <w:r>
        <w:rPr>
          <w:rFonts w:hint="eastAsia" w:ascii="仿宋" w:hAnsi="仿宋" w:eastAsia="仿宋" w:cs="仿宋"/>
          <w:b/>
          <w:color w:val="auto"/>
          <w:kern w:val="2"/>
          <w:szCs w:val="24"/>
          <w:highlight w:val="none"/>
        </w:rPr>
        <w:t>项目名称：</w:t>
      </w:r>
    </w:p>
    <w:p w14:paraId="284370B5">
      <w:pPr>
        <w:pStyle w:val="31"/>
        <w:spacing w:beforeLines="20" w:afterLines="20" w:line="360" w:lineRule="auto"/>
        <w:rPr>
          <w:rFonts w:ascii="仿宋" w:hAnsi="仿宋" w:eastAsia="仿宋" w:cs="仿宋"/>
          <w:b/>
          <w:color w:val="auto"/>
          <w:szCs w:val="24"/>
          <w:highlight w:val="none"/>
        </w:rPr>
      </w:pPr>
      <w:r>
        <w:rPr>
          <w:rFonts w:hint="eastAsia" w:ascii="仿宋" w:hAnsi="仿宋" w:eastAsia="仿宋" w:cs="仿宋"/>
          <w:b/>
          <w:color w:val="auto"/>
          <w:kern w:val="2"/>
          <w:szCs w:val="24"/>
          <w:highlight w:val="none"/>
        </w:rPr>
        <w:t>投标文件内容：</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 xml:space="preserve">      投标文件商务标</w:t>
      </w:r>
      <w:r>
        <w:rPr>
          <w:rFonts w:hint="eastAsia" w:ascii="仿宋" w:hAnsi="仿宋" w:eastAsia="仿宋" w:cs="仿宋"/>
          <w:b/>
          <w:color w:val="auto"/>
          <w:kern w:val="2"/>
          <w:szCs w:val="24"/>
          <w:highlight w:val="none"/>
          <w:u w:val="single"/>
        </w:rPr>
        <w:tab/>
      </w:r>
      <w:r>
        <w:rPr>
          <w:rFonts w:hint="eastAsia" w:ascii="仿宋" w:hAnsi="仿宋" w:eastAsia="仿宋" w:cs="仿宋"/>
          <w:b/>
          <w:color w:val="auto"/>
          <w:kern w:val="2"/>
          <w:szCs w:val="24"/>
          <w:highlight w:val="none"/>
          <w:u w:val="single"/>
        </w:rPr>
        <w:tab/>
      </w:r>
    </w:p>
    <w:p w14:paraId="2C8E97A9">
      <w:pPr>
        <w:pStyle w:val="16"/>
        <w:spacing w:beforeLines="20" w:afterLines="20" w:line="360" w:lineRule="auto"/>
        <w:ind w:left="0" w:leftChars="0" w:firstLine="0" w:firstLineChars="0"/>
        <w:rPr>
          <w:rFonts w:ascii="仿宋" w:hAnsi="仿宋" w:eastAsia="仿宋" w:cs="仿宋"/>
          <w:b/>
          <w:color w:val="auto"/>
          <w:kern w:val="2"/>
          <w:sz w:val="24"/>
          <w:szCs w:val="24"/>
          <w:highlight w:val="none"/>
          <w:u w:val="single"/>
        </w:rPr>
      </w:pPr>
      <w:r>
        <w:rPr>
          <w:rFonts w:hint="eastAsia" w:ascii="仿宋" w:hAnsi="仿宋" w:eastAsia="仿宋" w:cs="仿宋"/>
          <w:b/>
          <w:color w:val="auto"/>
          <w:kern w:val="2"/>
          <w:sz w:val="24"/>
          <w:szCs w:val="24"/>
          <w:highlight w:val="none"/>
        </w:rPr>
        <w:t>投 标 人：</w:t>
      </w:r>
      <w:r>
        <w:rPr>
          <w:rFonts w:hint="eastAsia" w:ascii="仿宋" w:hAnsi="仿宋" w:eastAsia="仿宋" w:cs="仿宋"/>
          <w:b/>
          <w:color w:val="auto"/>
          <w:kern w:val="2"/>
          <w:sz w:val="24"/>
          <w:szCs w:val="24"/>
          <w:highlight w:val="none"/>
          <w:u w:val="single"/>
        </w:rPr>
        <w:t>（盖公章）</w:t>
      </w:r>
    </w:p>
    <w:p w14:paraId="1D76919A">
      <w:pPr>
        <w:pStyle w:val="31"/>
        <w:spacing w:beforeLines="20" w:afterLines="20" w:line="360" w:lineRule="auto"/>
        <w:rPr>
          <w:rFonts w:ascii="仿宋" w:hAnsi="仿宋" w:eastAsia="仿宋" w:cs="仿宋"/>
          <w:b/>
          <w:color w:val="auto"/>
          <w:highlight w:val="none"/>
        </w:rPr>
      </w:pPr>
      <w:r>
        <w:rPr>
          <w:rFonts w:hint="eastAsia" w:ascii="仿宋" w:hAnsi="仿宋" w:eastAsia="仿宋" w:cs="仿宋"/>
          <w:b/>
          <w:color w:val="auto"/>
          <w:kern w:val="2"/>
          <w:szCs w:val="24"/>
          <w:highlight w:val="none"/>
        </w:rPr>
        <w:t>法定代表人或其委托代理人：</w:t>
      </w:r>
      <w:r>
        <w:rPr>
          <w:rFonts w:hint="eastAsia" w:ascii="仿宋" w:hAnsi="仿宋" w:eastAsia="仿宋" w:cs="仿宋"/>
          <w:b/>
          <w:color w:val="auto"/>
          <w:kern w:val="2"/>
          <w:szCs w:val="24"/>
          <w:highlight w:val="none"/>
          <w:u w:val="single"/>
        </w:rPr>
        <w:t>（签字或盖章）</w:t>
      </w:r>
    </w:p>
    <w:p w14:paraId="0F388C6D">
      <w:pPr>
        <w:spacing w:beforeLines="20" w:afterLines="20"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日    期： 年 月日</w:t>
      </w:r>
    </w:p>
    <w:p w14:paraId="0192E946">
      <w:pPr>
        <w:pStyle w:val="4"/>
        <w:keepNext w:val="0"/>
        <w:widowControl/>
        <w:tabs>
          <w:tab w:val="left" w:pos="720"/>
        </w:tabs>
        <w:adjustRightInd/>
        <w:spacing w:before="120" w:after="120" w:line="360" w:lineRule="auto"/>
        <w:ind w:left="720" w:hanging="720"/>
        <w:jc w:val="center"/>
        <w:rPr>
          <w:rFonts w:ascii="仿宋" w:hAnsi="仿宋" w:eastAsia="仿宋" w:cs="仿宋"/>
          <w:color w:val="auto"/>
          <w:sz w:val="36"/>
          <w:highlight w:val="none"/>
        </w:rPr>
      </w:pPr>
    </w:p>
    <w:p w14:paraId="7DC42879">
      <w:pPr>
        <w:rPr>
          <w:rFonts w:ascii="仿宋" w:hAnsi="仿宋" w:eastAsia="仿宋" w:cs="仿宋"/>
          <w:color w:val="auto"/>
          <w:sz w:val="36"/>
          <w:highlight w:val="none"/>
        </w:rPr>
      </w:pPr>
    </w:p>
    <w:p w14:paraId="652F1739">
      <w:pPr>
        <w:pStyle w:val="52"/>
        <w:ind w:left="400" w:firstLine="720"/>
        <w:rPr>
          <w:rFonts w:ascii="仿宋" w:hAnsi="仿宋" w:eastAsia="仿宋" w:cs="仿宋"/>
          <w:color w:val="auto"/>
          <w:sz w:val="36"/>
          <w:highlight w:val="none"/>
        </w:rPr>
      </w:pPr>
    </w:p>
    <w:p w14:paraId="7C0744C6">
      <w:pPr>
        <w:pStyle w:val="4"/>
        <w:keepNext w:val="0"/>
        <w:widowControl/>
        <w:tabs>
          <w:tab w:val="left" w:pos="720"/>
        </w:tabs>
        <w:adjustRightInd/>
        <w:spacing w:before="120" w:after="120" w:line="360" w:lineRule="auto"/>
        <w:ind w:left="720" w:hanging="720"/>
        <w:jc w:val="center"/>
        <w:rPr>
          <w:rFonts w:ascii="仿宋" w:hAnsi="仿宋" w:eastAsia="仿宋" w:cs="仿宋"/>
          <w:color w:val="auto"/>
          <w:sz w:val="36"/>
          <w:highlight w:val="none"/>
        </w:rPr>
      </w:pPr>
      <w:r>
        <w:rPr>
          <w:rFonts w:hint="eastAsia" w:ascii="仿宋" w:hAnsi="仿宋" w:eastAsia="仿宋" w:cs="仿宋"/>
          <w:color w:val="auto"/>
          <w:sz w:val="36"/>
          <w:highlight w:val="none"/>
        </w:rPr>
        <w:t>商务文件目录</w:t>
      </w:r>
      <w:bookmarkEnd w:id="104"/>
      <w:bookmarkEnd w:id="105"/>
      <w:bookmarkEnd w:id="106"/>
    </w:p>
    <w:p w14:paraId="5B94A849">
      <w:pPr>
        <w:ind w:firstLine="1260"/>
        <w:rPr>
          <w:rFonts w:ascii="仿宋" w:hAnsi="仿宋" w:eastAsia="仿宋" w:cs="仿宋"/>
          <w:color w:val="auto"/>
          <w:sz w:val="28"/>
          <w:szCs w:val="28"/>
          <w:highlight w:val="none"/>
        </w:rPr>
      </w:pPr>
    </w:p>
    <w:p w14:paraId="7587406A">
      <w:pPr>
        <w:ind w:firstLine="1260"/>
        <w:rPr>
          <w:rFonts w:ascii="仿宋" w:hAnsi="仿宋" w:eastAsia="仿宋" w:cs="仿宋"/>
          <w:color w:val="auto"/>
          <w:sz w:val="28"/>
          <w:szCs w:val="28"/>
          <w:highlight w:val="none"/>
        </w:rPr>
      </w:pPr>
    </w:p>
    <w:p w14:paraId="35129316">
      <w:pP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一、投标函</w:t>
      </w:r>
    </w:p>
    <w:p w14:paraId="06A9F848">
      <w:pP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二、投标报价表 </w:t>
      </w:r>
    </w:p>
    <w:p w14:paraId="697DD077">
      <w:pP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三、其它投标人认为需要的资料</w:t>
      </w:r>
    </w:p>
    <w:p w14:paraId="6ED42D02">
      <w:pPr>
        <w:rPr>
          <w:rFonts w:ascii="仿宋" w:hAnsi="仿宋" w:eastAsia="仿宋" w:cs="仿宋"/>
          <w:color w:val="auto"/>
          <w:highlight w:val="none"/>
        </w:rPr>
      </w:pPr>
    </w:p>
    <w:p w14:paraId="0B905BDC">
      <w:pPr>
        <w:spacing w:line="360" w:lineRule="auto"/>
        <w:rPr>
          <w:rFonts w:ascii="仿宋" w:hAnsi="仿宋" w:eastAsia="仿宋" w:cs="仿宋"/>
          <w:color w:val="auto"/>
          <w:szCs w:val="21"/>
          <w:highlight w:val="none"/>
        </w:rPr>
      </w:pPr>
      <w:r>
        <w:rPr>
          <w:rFonts w:hint="eastAsia" w:ascii="仿宋" w:hAnsi="仿宋" w:eastAsia="仿宋" w:cs="仿宋"/>
          <w:color w:val="auto"/>
          <w:highlight w:val="none"/>
        </w:rPr>
        <w:br w:type="page"/>
      </w:r>
    </w:p>
    <w:p w14:paraId="1D33BA6F">
      <w:pPr>
        <w:jc w:val="center"/>
        <w:rPr>
          <w:rFonts w:ascii="仿宋" w:hAnsi="仿宋" w:eastAsia="仿宋" w:cs="仿宋"/>
          <w:b/>
          <w:color w:val="auto"/>
          <w:sz w:val="28"/>
          <w:szCs w:val="21"/>
          <w:highlight w:val="none"/>
        </w:rPr>
      </w:pPr>
      <w:bookmarkStart w:id="107" w:name="_Toc4892"/>
      <w:r>
        <w:rPr>
          <w:rFonts w:hint="eastAsia" w:ascii="仿宋" w:hAnsi="仿宋" w:eastAsia="仿宋" w:cs="仿宋"/>
          <w:b/>
          <w:color w:val="auto"/>
          <w:sz w:val="28"/>
          <w:szCs w:val="21"/>
          <w:highlight w:val="none"/>
        </w:rPr>
        <w:t>一、投 标 函</w:t>
      </w:r>
      <w:bookmarkEnd w:id="107"/>
    </w:p>
    <w:p w14:paraId="1BDF9F6F">
      <w:pPr>
        <w:spacing w:line="38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致：（招标人）</w:t>
      </w:r>
    </w:p>
    <w:p w14:paraId="1C21095B">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根据贵方项目公开招标（项目编号为）的招标文件，我方针对该项目的</w:t>
      </w:r>
      <w:r>
        <w:rPr>
          <w:rFonts w:hint="eastAsia" w:ascii="仿宋" w:hAnsi="仿宋" w:eastAsia="仿宋" w:cs="仿宋"/>
          <w:b/>
          <w:color w:val="auto"/>
          <w:sz w:val="24"/>
          <w:szCs w:val="24"/>
          <w:highlight w:val="none"/>
        </w:rPr>
        <w:t>投标报价为</w:t>
      </w:r>
      <w:r>
        <w:rPr>
          <w:rFonts w:hint="eastAsia" w:ascii="仿宋" w:hAnsi="仿宋" w:eastAsia="仿宋" w:cs="仿宋"/>
          <w:b/>
          <w:color w:val="auto"/>
          <w:sz w:val="24"/>
          <w:szCs w:val="24"/>
          <w:highlight w:val="none"/>
          <w:u w:val="single"/>
        </w:rPr>
        <w:t xml:space="preserve">      元。</w:t>
      </w:r>
      <w:r>
        <w:rPr>
          <w:rFonts w:hint="eastAsia" w:ascii="仿宋" w:hAnsi="仿宋" w:eastAsia="仿宋" w:cs="仿宋"/>
          <w:color w:val="auto"/>
          <w:sz w:val="24"/>
          <w:szCs w:val="24"/>
          <w:highlight w:val="none"/>
        </w:rPr>
        <w:t>并正式授权的下述签字人</w:t>
      </w:r>
      <w:r>
        <w:rPr>
          <w:rFonts w:hint="eastAsia" w:ascii="仿宋" w:hAnsi="仿宋" w:eastAsia="仿宋" w:cs="仿宋"/>
          <w:color w:val="auto"/>
          <w:sz w:val="24"/>
          <w:szCs w:val="24"/>
          <w:highlight w:val="none"/>
          <w:u w:val="single"/>
        </w:rPr>
        <w:t xml:space="preserve">            （姓名、职务）</w:t>
      </w:r>
      <w:r>
        <w:rPr>
          <w:rFonts w:hint="eastAsia" w:ascii="仿宋" w:hAnsi="仿宋" w:eastAsia="仿宋" w:cs="仿宋"/>
          <w:color w:val="auto"/>
          <w:sz w:val="24"/>
          <w:szCs w:val="24"/>
          <w:highlight w:val="none"/>
        </w:rPr>
        <w:t>代表</w:t>
      </w:r>
      <w:r>
        <w:rPr>
          <w:rFonts w:hint="eastAsia" w:ascii="仿宋" w:hAnsi="仿宋" w:eastAsia="仿宋" w:cs="仿宋"/>
          <w:color w:val="auto"/>
          <w:sz w:val="24"/>
          <w:szCs w:val="24"/>
          <w:highlight w:val="none"/>
          <w:u w:val="single"/>
        </w:rPr>
        <w:t xml:space="preserve">               （投标人名称） </w:t>
      </w:r>
      <w:r>
        <w:rPr>
          <w:rFonts w:hint="eastAsia" w:ascii="仿宋" w:hAnsi="仿宋" w:eastAsia="仿宋" w:cs="仿宋"/>
          <w:color w:val="auto"/>
          <w:sz w:val="24"/>
          <w:szCs w:val="24"/>
          <w:highlight w:val="none"/>
        </w:rPr>
        <w:t>，提交招标文件要求的全套投标文件，包括：</w:t>
      </w:r>
    </w:p>
    <w:p w14:paraId="6D2CB2F6">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招标文件中要求的投标文件；</w:t>
      </w:r>
    </w:p>
    <w:p w14:paraId="33E1B06A">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其他资料。</w:t>
      </w:r>
    </w:p>
    <w:p w14:paraId="65186F0B">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据此函，签字人兹宣布同意如下：</w:t>
      </w:r>
    </w:p>
    <w:p w14:paraId="3A7A5064">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rPr>
        <w:t>我方已详细审核并确认全部招标文件，包括修改文件（如有时）及有关附件。</w:t>
      </w:r>
    </w:p>
    <w:p w14:paraId="7D2F2F01">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rPr>
        <w:t>若后期招标人委托我方设计，我方将按照投标文件中的承诺组建项目设计组，由投标文件所承诺的设计人员完成本项目的全部设计工作，保证在未征得招标人同意的前提下不变更主要设计人员，保证按投标函附表中承诺的设计周期完成设计并提供相应的设计服务。</w:t>
      </w:r>
    </w:p>
    <w:p w14:paraId="1CC55371">
      <w:pPr>
        <w:spacing w:line="38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3.</w:t>
      </w:r>
      <w:r>
        <w:rPr>
          <w:rFonts w:hint="eastAsia" w:ascii="仿宋" w:hAnsi="仿宋" w:eastAsia="仿宋" w:cs="仿宋"/>
          <w:color w:val="auto"/>
          <w:sz w:val="24"/>
          <w:szCs w:val="24"/>
          <w:highlight w:val="none"/>
        </w:rPr>
        <w:t>其他补充说明：（补充说明事项）与本投标有关的一切正式往来通讯请寄：</w:t>
      </w:r>
    </w:p>
    <w:p w14:paraId="42D06537">
      <w:pPr>
        <w:spacing w:line="360" w:lineRule="auto"/>
        <w:ind w:firstLine="480" w:firstLineChars="200"/>
        <w:rPr>
          <w:rFonts w:ascii="仿宋" w:hAnsi="仿宋" w:eastAsia="仿宋" w:cs="仿宋"/>
          <w:color w:val="auto"/>
          <w:sz w:val="24"/>
          <w:szCs w:val="24"/>
          <w:highlight w:val="none"/>
        </w:rPr>
      </w:pPr>
    </w:p>
    <w:p w14:paraId="79DE565E">
      <w:pPr>
        <w:spacing w:line="360" w:lineRule="auto"/>
        <w:ind w:firstLine="480" w:firstLineChars="200"/>
        <w:rPr>
          <w:rFonts w:ascii="仿宋" w:hAnsi="仿宋" w:eastAsia="仿宋" w:cs="仿宋"/>
          <w:color w:val="auto"/>
          <w:sz w:val="24"/>
          <w:szCs w:val="24"/>
          <w:highlight w:val="none"/>
        </w:rPr>
      </w:pPr>
    </w:p>
    <w:p w14:paraId="27E2AC1E">
      <w:pPr>
        <w:spacing w:line="360" w:lineRule="auto"/>
        <w:ind w:firstLine="480" w:firstLineChars="200"/>
        <w:rPr>
          <w:rFonts w:ascii="仿宋" w:hAnsi="仿宋" w:eastAsia="仿宋" w:cs="仿宋"/>
          <w:color w:val="auto"/>
          <w:sz w:val="24"/>
          <w:szCs w:val="24"/>
          <w:highlight w:val="none"/>
        </w:rPr>
      </w:pPr>
    </w:p>
    <w:p w14:paraId="2055F4FD">
      <w:pPr>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highlight w:val="none"/>
          <w:u w:val="single"/>
        </w:rPr>
        <w:t>（盖公章）</w:t>
      </w:r>
    </w:p>
    <w:p w14:paraId="490D3828">
      <w:pPr>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地址：邮编：</w:t>
      </w:r>
    </w:p>
    <w:p w14:paraId="488E5B61">
      <w:pPr>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p>
    <w:p w14:paraId="79E39E14">
      <w:pPr>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法定代表人或授权委托人：</w:t>
      </w:r>
      <w:r>
        <w:rPr>
          <w:rFonts w:hint="eastAsia" w:ascii="仿宋" w:hAnsi="仿宋" w:eastAsia="仿宋" w:cs="仿宋"/>
          <w:color w:val="auto"/>
          <w:sz w:val="24"/>
          <w:szCs w:val="24"/>
          <w:highlight w:val="none"/>
          <w:u w:val="single"/>
        </w:rPr>
        <w:t>（签字或盖章）</w:t>
      </w:r>
    </w:p>
    <w:p w14:paraId="2141199D">
      <w:pPr>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项目负责人：</w:t>
      </w:r>
    </w:p>
    <w:p w14:paraId="29D7371A">
      <w:pPr>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日期：年月日</w:t>
      </w:r>
    </w:p>
    <w:p w14:paraId="60D53043">
      <w:pPr>
        <w:rPr>
          <w:rFonts w:ascii="仿宋" w:hAnsi="仿宋" w:eastAsia="仿宋" w:cs="仿宋"/>
          <w:color w:val="auto"/>
          <w:sz w:val="24"/>
          <w:szCs w:val="24"/>
          <w:highlight w:val="none"/>
        </w:rPr>
      </w:pPr>
    </w:p>
    <w:p w14:paraId="668EFCD7">
      <w:pPr>
        <w:rPr>
          <w:rFonts w:ascii="仿宋" w:hAnsi="仿宋" w:eastAsia="仿宋" w:cs="仿宋"/>
          <w:color w:val="auto"/>
          <w:szCs w:val="21"/>
          <w:highlight w:val="none"/>
        </w:rPr>
      </w:pPr>
      <w:r>
        <w:rPr>
          <w:rFonts w:hint="eastAsia" w:ascii="仿宋" w:hAnsi="仿宋" w:eastAsia="仿宋" w:cs="仿宋"/>
          <w:b/>
          <w:color w:val="auto"/>
          <w:sz w:val="28"/>
          <w:szCs w:val="32"/>
          <w:highlight w:val="none"/>
        </w:rPr>
        <w:br w:type="page"/>
      </w:r>
    </w:p>
    <w:p w14:paraId="487F3322">
      <w:pPr>
        <w:jc w:val="center"/>
        <w:rPr>
          <w:rFonts w:ascii="仿宋" w:hAnsi="仿宋" w:eastAsia="仿宋" w:cs="仿宋"/>
          <w:b/>
          <w:color w:val="auto"/>
          <w:sz w:val="28"/>
          <w:szCs w:val="21"/>
          <w:highlight w:val="none"/>
        </w:rPr>
      </w:pPr>
      <w:r>
        <w:rPr>
          <w:rFonts w:hint="eastAsia" w:ascii="仿宋" w:hAnsi="仿宋" w:eastAsia="仿宋" w:cs="仿宋"/>
          <w:b/>
          <w:color w:val="auto"/>
          <w:sz w:val="28"/>
          <w:szCs w:val="21"/>
          <w:highlight w:val="none"/>
        </w:rPr>
        <w:t>二、投 标 报 价 表</w:t>
      </w:r>
    </w:p>
    <w:tbl>
      <w:tblPr>
        <w:tblStyle w:val="36"/>
        <w:tblpPr w:leftFromText="180" w:rightFromText="180" w:vertAnchor="text" w:horzAnchor="page" w:tblpX="1463" w:tblpY="708"/>
        <w:tblOverlap w:val="never"/>
        <w:tblW w:w="8577" w:type="dxa"/>
        <w:tblInd w:w="0" w:type="dxa"/>
        <w:tblLayout w:type="fixed"/>
        <w:tblCellMar>
          <w:top w:w="0" w:type="dxa"/>
          <w:left w:w="0" w:type="dxa"/>
          <w:bottom w:w="0" w:type="dxa"/>
          <w:right w:w="0" w:type="dxa"/>
        </w:tblCellMar>
      </w:tblPr>
      <w:tblGrid>
        <w:gridCol w:w="2057"/>
        <w:gridCol w:w="2962"/>
        <w:gridCol w:w="1749"/>
        <w:gridCol w:w="1809"/>
      </w:tblGrid>
      <w:tr w14:paraId="396DBDA9">
        <w:tblPrEx>
          <w:tblCellMar>
            <w:top w:w="0" w:type="dxa"/>
            <w:left w:w="0" w:type="dxa"/>
            <w:bottom w:w="0" w:type="dxa"/>
            <w:right w:w="0" w:type="dxa"/>
          </w:tblCellMar>
        </w:tblPrEx>
        <w:trPr>
          <w:trHeight w:val="770" w:hRule="exact"/>
        </w:trPr>
        <w:tc>
          <w:tcPr>
            <w:tcW w:w="2057" w:type="dxa"/>
            <w:tcBorders>
              <w:top w:val="single" w:color="auto" w:sz="8" w:space="0"/>
              <w:left w:val="single" w:color="auto" w:sz="8" w:space="0"/>
              <w:bottom w:val="single" w:color="auto" w:sz="8" w:space="0"/>
              <w:right w:val="single" w:color="auto" w:sz="8" w:space="0"/>
            </w:tcBorders>
            <w:shd w:val="clear" w:color="auto" w:fill="auto"/>
            <w:vAlign w:val="center"/>
          </w:tcPr>
          <w:p w14:paraId="1D4DBB9E">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p>
        </w:tc>
        <w:tc>
          <w:tcPr>
            <w:tcW w:w="2962" w:type="dxa"/>
            <w:tcBorders>
              <w:top w:val="single" w:color="auto" w:sz="8" w:space="0"/>
              <w:left w:val="single" w:color="auto" w:sz="8" w:space="0"/>
              <w:bottom w:val="single" w:color="auto" w:sz="8" w:space="0"/>
              <w:right w:val="single" w:color="auto" w:sz="8" w:space="0"/>
            </w:tcBorders>
            <w:shd w:val="clear" w:color="auto" w:fill="auto"/>
            <w:vAlign w:val="center"/>
          </w:tcPr>
          <w:p w14:paraId="2A82F00B">
            <w:pPr>
              <w:jc w:val="center"/>
              <w:rPr>
                <w:rFonts w:ascii="仿宋" w:hAnsi="仿宋" w:eastAsia="仿宋" w:cs="仿宋"/>
                <w:bCs/>
                <w:color w:val="auto"/>
                <w:sz w:val="24"/>
                <w:szCs w:val="24"/>
                <w:highlight w:val="none"/>
              </w:rPr>
            </w:pPr>
          </w:p>
        </w:tc>
        <w:tc>
          <w:tcPr>
            <w:tcW w:w="1749" w:type="dxa"/>
            <w:tcBorders>
              <w:top w:val="single" w:color="auto" w:sz="8" w:space="0"/>
              <w:left w:val="single" w:color="auto" w:sz="8" w:space="0"/>
              <w:bottom w:val="single" w:color="auto" w:sz="8" w:space="0"/>
              <w:right w:val="single" w:color="auto" w:sz="8" w:space="0"/>
            </w:tcBorders>
            <w:shd w:val="clear" w:color="auto" w:fill="auto"/>
            <w:vAlign w:val="center"/>
          </w:tcPr>
          <w:p w14:paraId="39D643F2">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项目编号</w:t>
            </w:r>
          </w:p>
        </w:tc>
        <w:tc>
          <w:tcPr>
            <w:tcW w:w="1809" w:type="dxa"/>
            <w:tcBorders>
              <w:top w:val="single" w:color="auto" w:sz="8" w:space="0"/>
              <w:left w:val="single" w:color="auto" w:sz="8" w:space="0"/>
              <w:bottom w:val="single" w:color="auto" w:sz="8" w:space="0"/>
              <w:right w:val="single" w:color="auto" w:sz="8" w:space="0"/>
            </w:tcBorders>
            <w:shd w:val="clear" w:color="auto" w:fill="auto"/>
            <w:vAlign w:val="center"/>
          </w:tcPr>
          <w:p w14:paraId="0BE9B9E8">
            <w:pPr>
              <w:jc w:val="center"/>
              <w:rPr>
                <w:rFonts w:ascii="仿宋" w:hAnsi="仿宋" w:eastAsia="仿宋" w:cs="仿宋"/>
                <w:bCs/>
                <w:color w:val="auto"/>
                <w:sz w:val="24"/>
                <w:szCs w:val="24"/>
                <w:highlight w:val="none"/>
              </w:rPr>
            </w:pPr>
          </w:p>
        </w:tc>
      </w:tr>
      <w:tr w14:paraId="51A22A63">
        <w:tblPrEx>
          <w:tblCellMar>
            <w:top w:w="0" w:type="dxa"/>
            <w:left w:w="0" w:type="dxa"/>
            <w:bottom w:w="0" w:type="dxa"/>
            <w:right w:w="0" w:type="dxa"/>
          </w:tblCellMar>
        </w:tblPrEx>
        <w:trPr>
          <w:trHeight w:val="800" w:hRule="exact"/>
        </w:trPr>
        <w:tc>
          <w:tcPr>
            <w:tcW w:w="2057" w:type="dxa"/>
            <w:tcBorders>
              <w:top w:val="single" w:color="auto" w:sz="8" w:space="0"/>
              <w:left w:val="single" w:color="auto" w:sz="8" w:space="0"/>
              <w:bottom w:val="single" w:color="auto" w:sz="8" w:space="0"/>
              <w:right w:val="single" w:color="auto" w:sz="8" w:space="0"/>
            </w:tcBorders>
            <w:shd w:val="clear" w:color="auto" w:fill="auto"/>
            <w:vAlign w:val="center"/>
          </w:tcPr>
          <w:p w14:paraId="0627CD61">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投标人名称</w:t>
            </w:r>
          </w:p>
        </w:tc>
        <w:tc>
          <w:tcPr>
            <w:tcW w:w="6520"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73289EDA">
            <w:pPr>
              <w:jc w:val="center"/>
              <w:rPr>
                <w:rFonts w:ascii="仿宋" w:hAnsi="仿宋" w:eastAsia="仿宋" w:cs="仿宋"/>
                <w:bCs/>
                <w:color w:val="auto"/>
                <w:sz w:val="24"/>
                <w:szCs w:val="24"/>
                <w:highlight w:val="none"/>
              </w:rPr>
            </w:pPr>
          </w:p>
        </w:tc>
      </w:tr>
      <w:tr w14:paraId="04C94CB7">
        <w:tblPrEx>
          <w:tblCellMar>
            <w:top w:w="0" w:type="dxa"/>
            <w:left w:w="0" w:type="dxa"/>
            <w:bottom w:w="0" w:type="dxa"/>
            <w:right w:w="0" w:type="dxa"/>
          </w:tblCellMar>
        </w:tblPrEx>
        <w:trPr>
          <w:trHeight w:val="1312" w:hRule="atLeast"/>
        </w:trPr>
        <w:tc>
          <w:tcPr>
            <w:tcW w:w="2057" w:type="dxa"/>
            <w:tcBorders>
              <w:top w:val="single" w:color="auto" w:sz="8" w:space="0"/>
              <w:left w:val="single" w:color="auto" w:sz="8" w:space="0"/>
              <w:bottom w:val="nil"/>
              <w:right w:val="single" w:color="auto" w:sz="8" w:space="0"/>
            </w:tcBorders>
            <w:shd w:val="clear" w:color="auto" w:fill="auto"/>
            <w:vAlign w:val="center"/>
          </w:tcPr>
          <w:p w14:paraId="471DE5F4">
            <w:pPr>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投标报价（费率）</w:t>
            </w:r>
          </w:p>
        </w:tc>
        <w:tc>
          <w:tcPr>
            <w:tcW w:w="6520" w:type="dxa"/>
            <w:gridSpan w:val="3"/>
            <w:tcBorders>
              <w:top w:val="single" w:color="auto" w:sz="8" w:space="0"/>
              <w:left w:val="single" w:color="auto" w:sz="8" w:space="0"/>
              <w:bottom w:val="nil"/>
              <w:right w:val="single" w:color="auto" w:sz="8" w:space="0"/>
            </w:tcBorders>
            <w:shd w:val="clear" w:color="auto" w:fill="auto"/>
            <w:vAlign w:val="center"/>
          </w:tcPr>
          <w:p w14:paraId="734AF530">
            <w:pPr>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投标报价：</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             </w:t>
            </w:r>
          </w:p>
        </w:tc>
      </w:tr>
      <w:tr w14:paraId="6A135025">
        <w:tblPrEx>
          <w:tblCellMar>
            <w:top w:w="0" w:type="dxa"/>
            <w:left w:w="0" w:type="dxa"/>
            <w:bottom w:w="0" w:type="dxa"/>
            <w:right w:w="0" w:type="dxa"/>
          </w:tblCellMar>
        </w:tblPrEx>
        <w:trPr>
          <w:trHeight w:val="3440" w:hRule="exact"/>
        </w:trPr>
        <w:tc>
          <w:tcPr>
            <w:tcW w:w="2057" w:type="dxa"/>
            <w:tcBorders>
              <w:top w:val="single" w:color="auto" w:sz="8" w:space="0"/>
              <w:left w:val="single" w:color="auto" w:sz="8" w:space="0"/>
              <w:bottom w:val="single" w:color="auto" w:sz="8" w:space="0"/>
              <w:right w:val="single" w:color="auto" w:sz="8" w:space="0"/>
            </w:tcBorders>
            <w:shd w:val="clear" w:color="auto" w:fill="auto"/>
            <w:vAlign w:val="center"/>
          </w:tcPr>
          <w:p w14:paraId="1C408183">
            <w:pPr>
              <w:jc w:val="center"/>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备注</w:t>
            </w:r>
          </w:p>
        </w:tc>
        <w:tc>
          <w:tcPr>
            <w:tcW w:w="6520" w:type="dxa"/>
            <w:gridSpan w:val="3"/>
            <w:tcBorders>
              <w:top w:val="single" w:color="auto" w:sz="8" w:space="0"/>
              <w:left w:val="single" w:color="auto" w:sz="8" w:space="0"/>
              <w:bottom w:val="single" w:color="auto" w:sz="8" w:space="0"/>
              <w:right w:val="single" w:color="auto" w:sz="8" w:space="0"/>
            </w:tcBorders>
            <w:shd w:val="clear" w:color="auto" w:fill="auto"/>
            <w:vAlign w:val="center"/>
          </w:tcPr>
          <w:p w14:paraId="1EDEA578">
            <w:pPr>
              <w:pStyle w:val="31"/>
              <w:adjustRightInd/>
              <w:spacing w:after="200" w:line="360" w:lineRule="auto"/>
              <w:rPr>
                <w:rFonts w:ascii="仿宋" w:hAnsi="仿宋" w:eastAsia="仿宋" w:cs="仿宋"/>
                <w:color w:val="auto"/>
                <w:kern w:val="2"/>
                <w:szCs w:val="24"/>
                <w:highlight w:val="none"/>
              </w:rPr>
            </w:pPr>
          </w:p>
          <w:p w14:paraId="0E397665">
            <w:pPr>
              <w:spacing w:line="440" w:lineRule="exact"/>
              <w:rPr>
                <w:rFonts w:ascii="仿宋" w:hAnsi="仿宋" w:eastAsia="仿宋" w:cs="仿宋"/>
                <w:bCs/>
                <w:color w:val="auto"/>
                <w:sz w:val="24"/>
                <w:szCs w:val="24"/>
                <w:highlight w:val="none"/>
              </w:rPr>
            </w:pPr>
          </w:p>
          <w:p w14:paraId="4BE81353">
            <w:pPr>
              <w:spacing w:line="440" w:lineRule="exact"/>
              <w:rPr>
                <w:rFonts w:ascii="仿宋" w:hAnsi="仿宋" w:eastAsia="仿宋" w:cs="仿宋"/>
                <w:bCs/>
                <w:color w:val="auto"/>
                <w:sz w:val="24"/>
                <w:szCs w:val="24"/>
                <w:highlight w:val="none"/>
              </w:rPr>
            </w:pPr>
          </w:p>
          <w:p w14:paraId="374C13D9">
            <w:pPr>
              <w:spacing w:line="440" w:lineRule="exact"/>
              <w:rPr>
                <w:rFonts w:ascii="仿宋" w:hAnsi="仿宋" w:eastAsia="仿宋" w:cs="仿宋"/>
                <w:bCs/>
                <w:color w:val="auto"/>
                <w:sz w:val="24"/>
                <w:szCs w:val="24"/>
                <w:highlight w:val="none"/>
              </w:rPr>
            </w:pPr>
          </w:p>
          <w:p w14:paraId="155A8074">
            <w:pPr>
              <w:spacing w:line="440" w:lineRule="exact"/>
              <w:rPr>
                <w:rFonts w:ascii="仿宋" w:hAnsi="仿宋" w:eastAsia="仿宋" w:cs="仿宋"/>
                <w:bCs/>
                <w:color w:val="auto"/>
                <w:sz w:val="24"/>
                <w:szCs w:val="24"/>
                <w:highlight w:val="none"/>
              </w:rPr>
            </w:pPr>
          </w:p>
        </w:tc>
      </w:tr>
    </w:tbl>
    <w:p w14:paraId="2C45C0A5">
      <w:pPr>
        <w:spacing w:line="360" w:lineRule="auto"/>
        <w:ind w:firstLine="400" w:firstLineChars="200"/>
        <w:rPr>
          <w:rFonts w:ascii="仿宋" w:hAnsi="仿宋" w:eastAsia="仿宋" w:cs="仿宋"/>
          <w:color w:val="auto"/>
          <w:szCs w:val="21"/>
          <w:highlight w:val="none"/>
        </w:rPr>
      </w:pPr>
    </w:p>
    <w:p w14:paraId="12D74778">
      <w:pPr>
        <w:spacing w:line="440" w:lineRule="exact"/>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highlight w:val="none"/>
          <w:u w:val="single"/>
        </w:rPr>
        <w:t>（盖公章）</w:t>
      </w:r>
    </w:p>
    <w:p w14:paraId="65DD5986">
      <w:pPr>
        <w:spacing w:line="440" w:lineRule="exact"/>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地址：邮编：</w:t>
      </w:r>
    </w:p>
    <w:p w14:paraId="2BEE294E">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p>
    <w:p w14:paraId="3C6F8D27">
      <w:pPr>
        <w:spacing w:line="440" w:lineRule="exact"/>
        <w:ind w:firstLine="480" w:firstLineChars="20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法定代表人或授权委托人：</w:t>
      </w:r>
      <w:r>
        <w:rPr>
          <w:rFonts w:hint="eastAsia" w:ascii="仿宋" w:hAnsi="仿宋" w:eastAsia="仿宋" w:cs="仿宋"/>
          <w:color w:val="auto"/>
          <w:sz w:val="24"/>
          <w:szCs w:val="24"/>
          <w:highlight w:val="none"/>
          <w:u w:val="single"/>
        </w:rPr>
        <w:t>（签字或盖章）</w:t>
      </w:r>
    </w:p>
    <w:p w14:paraId="31247078">
      <w:pPr>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项目负责人：</w:t>
      </w:r>
    </w:p>
    <w:p w14:paraId="3F116DAA">
      <w:pPr>
        <w:spacing w:line="44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日期：年月日</w:t>
      </w:r>
    </w:p>
    <w:p w14:paraId="292BC7A2">
      <w:pPr>
        <w:ind w:left="2400" w:leftChars="1200"/>
        <w:rPr>
          <w:rFonts w:ascii="仿宋" w:hAnsi="仿宋" w:eastAsia="仿宋" w:cs="仿宋"/>
          <w:color w:val="auto"/>
          <w:sz w:val="24"/>
          <w:szCs w:val="24"/>
          <w:highlight w:val="none"/>
        </w:rPr>
      </w:pPr>
    </w:p>
    <w:p w14:paraId="383AB6FC">
      <w:pPr>
        <w:ind w:left="2400" w:leftChars="1200"/>
        <w:rPr>
          <w:rFonts w:ascii="仿宋" w:hAnsi="仿宋" w:eastAsia="仿宋" w:cs="仿宋"/>
          <w:color w:val="auto"/>
          <w:sz w:val="28"/>
          <w:szCs w:val="28"/>
          <w:highlight w:val="none"/>
        </w:rPr>
      </w:pPr>
    </w:p>
    <w:p w14:paraId="5F07C555">
      <w:pPr>
        <w:numPr>
          <w:ilvl w:val="0"/>
          <w:numId w:val="2"/>
        </w:numPr>
        <w:tabs>
          <w:tab w:val="left" w:pos="400"/>
        </w:tabs>
        <w:ind w:left="2409" w:hanging="2409" w:hangingChars="857"/>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其它投标人认为需要的资料</w:t>
      </w:r>
    </w:p>
    <w:p w14:paraId="3C8600F4">
      <w:pPr>
        <w:pStyle w:val="31"/>
        <w:spacing w:after="120"/>
        <w:rPr>
          <w:rFonts w:ascii="仿宋" w:hAnsi="仿宋" w:eastAsia="仿宋" w:cs="仿宋"/>
          <w:color w:val="auto"/>
          <w:highlight w:val="none"/>
        </w:rPr>
      </w:pPr>
    </w:p>
    <w:p w14:paraId="1E53E2CD">
      <w:pPr>
        <w:rPr>
          <w:rFonts w:ascii="仿宋" w:hAnsi="仿宋" w:eastAsia="仿宋" w:cs="仿宋"/>
          <w:color w:val="auto"/>
          <w:highlight w:val="none"/>
        </w:rPr>
      </w:pPr>
    </w:p>
    <w:p w14:paraId="081049D9">
      <w:pPr>
        <w:pStyle w:val="52"/>
        <w:ind w:left="400" w:firstLine="400"/>
        <w:rPr>
          <w:rFonts w:ascii="仿宋" w:hAnsi="仿宋" w:eastAsia="仿宋" w:cs="仿宋"/>
          <w:color w:val="auto"/>
          <w:highlight w:val="none"/>
        </w:rPr>
      </w:pPr>
    </w:p>
    <w:p w14:paraId="5E558395">
      <w:pPr>
        <w:pStyle w:val="52"/>
        <w:numPr>
          <w:ilvl w:val="0"/>
          <w:numId w:val="3"/>
        </w:numPr>
        <w:ind w:left="400" w:firstLine="602"/>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设计任务书</w:t>
      </w:r>
    </w:p>
    <w:p w14:paraId="25128134">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第一条 项目名称 </w:t>
      </w:r>
    </w:p>
    <w:p w14:paraId="229D1C96">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G330铜陵段一级公路改建工程（一期）横埠至陈瑶湖段涉及500kV文官5391都山5392线143#塔改造工程</w:t>
      </w:r>
    </w:p>
    <w:p w14:paraId="736EC2DA">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第二条 地理位置 </w:t>
      </w:r>
    </w:p>
    <w:p w14:paraId="0D73E0F6">
      <w:pPr>
        <w:spacing w:line="400" w:lineRule="exact"/>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本项目建设地址位于铜陵市</w:t>
      </w:r>
      <w:r>
        <w:rPr>
          <w:rFonts w:hint="eastAsia" w:ascii="仿宋" w:hAnsi="仿宋" w:eastAsia="仿宋" w:cs="仿宋"/>
          <w:color w:val="auto"/>
          <w:sz w:val="24"/>
          <w:szCs w:val="24"/>
          <w:highlight w:val="none"/>
          <w:lang w:val="en-US" w:eastAsia="zh-CN"/>
        </w:rPr>
        <w:t>枞阳县</w:t>
      </w:r>
    </w:p>
    <w:p w14:paraId="7A89CD5D">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第三条 项目概况 </w:t>
      </w:r>
    </w:p>
    <w:p w14:paraId="0E1EA92F">
      <w:pPr>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工程改造新建耐张塔1基；全线按双回架设，恢复架线长度0.78km。原导线采用4×LGJ-630/45钢芯铝绞线；原地线一根采用36芯OPGW光缆，另一根采用GJ-80镀锌钢绞线，本工程利用原导地线恢复架线。拆除老线路1基铁塔。气象区为2910气象区（10米基准高度），沿线地形比例：平地70%，泥沼30%。沿线海拔高度在100m以内。</w:t>
      </w:r>
      <w:r>
        <w:rPr>
          <w:rFonts w:hint="eastAsia" w:ascii="仿宋" w:hAnsi="仿宋" w:eastAsia="仿宋" w:cs="仿宋"/>
          <w:color w:val="auto"/>
          <w:sz w:val="24"/>
          <w:szCs w:val="24"/>
          <w:highlight w:val="none"/>
        </w:rPr>
        <w:t xml:space="preserve"> </w:t>
      </w:r>
    </w:p>
    <w:p w14:paraId="60228BAC">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第四条 设计内容 </w:t>
      </w:r>
    </w:p>
    <w:p w14:paraId="056E3299">
      <w:pPr>
        <w:spacing w:line="400" w:lineRule="exact"/>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G330铜陵段一级公路改建工程（一期）横埠至陈瑶湖段涉及500kV文官5391都山5392线143#塔改造工程勘察设计 </w:t>
      </w:r>
    </w:p>
    <w:p w14:paraId="5B653797">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第五条 设计要求 </w:t>
      </w:r>
    </w:p>
    <w:p w14:paraId="7DD51FFD">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铜陵市公路管理服务中心提供的G330铜陵段一级公路改建工程的资料，G330铜陵段一级公路改建工程涉及钻越已建500kV文官5391/都山5392线#142-#144段，经查原工程资料及现场踏勘，不满足相关规程规范及相关文件的要求，需要对143#塔进行改造。</w:t>
      </w:r>
    </w:p>
    <w:p w14:paraId="40F118AD">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第六条 设计成果</w:t>
      </w:r>
    </w:p>
    <w:p w14:paraId="5475E251">
      <w:pPr>
        <w:snapToGrid w:val="0"/>
        <w:spacing w:beforeLines="0" w:afterLines="0" w:line="5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中标人报送G330铜陵段一级公路改建工程涉及500kV文官5391/都山</w:t>
      </w:r>
      <w:r>
        <w:rPr>
          <w:rFonts w:hint="eastAsia" w:ascii="仿宋" w:hAnsi="仿宋" w:eastAsia="仿宋" w:cs="仿宋"/>
          <w:color w:val="auto"/>
          <w:sz w:val="24"/>
          <w:szCs w:val="24"/>
          <w:highlight w:val="none"/>
          <w:lang w:eastAsia="zh-CN"/>
        </w:rPr>
        <w:t>5392线143#塔改造</w:t>
      </w:r>
      <w:r>
        <w:rPr>
          <w:rFonts w:hint="eastAsia" w:ascii="仿宋" w:hAnsi="仿宋" w:eastAsia="仿宋" w:cs="仿宋"/>
          <w:color w:val="auto"/>
          <w:sz w:val="24"/>
          <w:szCs w:val="24"/>
          <w:highlight w:val="none"/>
        </w:rPr>
        <w:t>工程</w:t>
      </w:r>
      <w:r>
        <w:rPr>
          <w:rFonts w:hint="eastAsia" w:ascii="仿宋" w:hAnsi="仿宋" w:eastAsia="仿宋" w:cs="仿宋"/>
          <w:color w:val="auto"/>
          <w:sz w:val="24"/>
          <w:szCs w:val="24"/>
          <w:highlight w:val="none"/>
          <w:lang w:val="en-US" w:eastAsia="zh-CN"/>
        </w:rPr>
        <w:t>初步设计和施工图</w:t>
      </w:r>
      <w:r>
        <w:rPr>
          <w:rFonts w:hint="eastAsia" w:ascii="仿宋" w:hAnsi="仿宋" w:eastAsia="仿宋" w:cs="仿宋"/>
          <w:color w:val="auto"/>
          <w:sz w:val="24"/>
          <w:szCs w:val="24"/>
          <w:highlight w:val="none"/>
        </w:rPr>
        <w:t>成果</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含初步设计(含概算)：</w:t>
      </w:r>
      <w:r>
        <w:rPr>
          <w:rFonts w:hint="default" w:ascii="仿宋" w:hAnsi="仿宋" w:eastAsia="仿宋" w:cs="仿宋"/>
          <w:color w:val="auto"/>
          <w:sz w:val="24"/>
          <w:szCs w:val="24"/>
          <w:highlight w:val="none"/>
        </w:rPr>
        <w:t>12份；施工图设计(含预算）：12份；竣工图：12份</w:t>
      </w:r>
      <w:r>
        <w:rPr>
          <w:rFonts w:hint="eastAsia" w:ascii="仿宋" w:hAnsi="仿宋" w:eastAsia="仿宋" w:cs="仿宋"/>
          <w:color w:val="auto"/>
          <w:sz w:val="24"/>
          <w:szCs w:val="24"/>
          <w:highlight w:val="none"/>
          <w:lang w:eastAsia="zh-CN"/>
        </w:rPr>
        <w:t>。</w:t>
      </w:r>
    </w:p>
    <w:p w14:paraId="4C4BB943">
      <w:pPr>
        <w:spacing w:line="400" w:lineRule="exac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第七条 设计依据 </w:t>
      </w:r>
    </w:p>
    <w:p w14:paraId="540819F9">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G330铜陵段一级公路改建工程涉及500kV文官5391/都山</w:t>
      </w:r>
      <w:r>
        <w:rPr>
          <w:rFonts w:hint="eastAsia" w:ascii="仿宋" w:hAnsi="仿宋" w:eastAsia="仿宋" w:cs="仿宋"/>
          <w:color w:val="auto"/>
          <w:sz w:val="24"/>
          <w:szCs w:val="24"/>
          <w:highlight w:val="none"/>
          <w:lang w:eastAsia="zh-CN"/>
        </w:rPr>
        <w:t>5392线143#塔改造</w:t>
      </w:r>
      <w:r>
        <w:rPr>
          <w:rFonts w:hint="eastAsia" w:ascii="仿宋" w:hAnsi="仿宋" w:eastAsia="仿宋" w:cs="仿宋"/>
          <w:color w:val="auto"/>
          <w:sz w:val="24"/>
          <w:szCs w:val="24"/>
          <w:highlight w:val="none"/>
        </w:rPr>
        <w:t>工程</w:t>
      </w:r>
      <w:r>
        <w:rPr>
          <w:rFonts w:hint="eastAsia" w:ascii="仿宋" w:hAnsi="仿宋" w:eastAsia="仿宋" w:cs="仿宋"/>
          <w:color w:val="auto"/>
          <w:sz w:val="24"/>
          <w:szCs w:val="24"/>
          <w:highlight w:val="none"/>
          <w:lang w:val="en-US" w:eastAsia="zh-CN"/>
        </w:rPr>
        <w:t>中标通知书</w:t>
      </w:r>
    </w:p>
    <w:p w14:paraId="0B28BD7E">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（2）《110kV~750kV架空输电线路设计规范》（GB 50545-2010）</w:t>
      </w:r>
    </w:p>
    <w:p w14:paraId="4F6FA64D">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（3）《国家电网有限公司35~750kV输变电工程通用设计、通用设备应用目录（2024年版）》</w:t>
      </w:r>
    </w:p>
    <w:p w14:paraId="0622331E">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（4）《交流电气装置的过电压保护和绝缘配合》(GB/T 50064-2014)</w:t>
      </w:r>
    </w:p>
    <w:p w14:paraId="5DB274E9">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（5）《架空输电线路杆塔结构设计技术规定》(DL/T 5154-2012)</w:t>
      </w:r>
    </w:p>
    <w:p w14:paraId="23AD5C8F">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（6）《建筑结构荷载规范》(GB 50009-2012)</w:t>
      </w:r>
    </w:p>
    <w:p w14:paraId="6B525B1C">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（7）《钢结构设计标准》(GB 50017-2017)</w:t>
      </w:r>
    </w:p>
    <w:p w14:paraId="32DFE58F">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（8）《架空输电线路基础设计技术规程》（DL/T 5219-2023）</w:t>
      </w:r>
    </w:p>
    <w:p w14:paraId="34EB7D79">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（9）《架空输电线路电气设计规程》(DL/T 5582-2020)</w:t>
      </w:r>
    </w:p>
    <w:p w14:paraId="5A9C8439">
      <w:pPr>
        <w:spacing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（10）《架空输电线路荷载规范》(DL/T 5551-2018)</w:t>
      </w:r>
    </w:p>
    <w:p w14:paraId="53A88F6C">
      <w:pPr>
        <w:rPr>
          <w:color w:val="auto"/>
          <w:highlight w:val="none"/>
        </w:rPr>
      </w:pPr>
    </w:p>
    <w:p w14:paraId="76AC0A53">
      <w:pPr>
        <w:pStyle w:val="52"/>
        <w:ind w:left="800" w:leftChars="400" w:firstLine="0" w:firstLineChars="0"/>
        <w:rPr>
          <w:rFonts w:ascii="仿宋" w:hAnsi="仿宋" w:eastAsia="仿宋" w:cs="仿宋"/>
          <w:b/>
          <w:color w:val="auto"/>
          <w:sz w:val="30"/>
          <w:szCs w:val="30"/>
          <w:highlight w:val="none"/>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4D229">
    <w:pPr>
      <w:pStyle w:val="24"/>
      <w:ind w:right="360"/>
      <w:rPr>
        <w:rStyle w:val="4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59B7166">
                          <w:pPr>
                            <w:pStyle w:val="24"/>
                            <w:rPr>
                              <w:rFonts w:ascii="仿宋" w:hAnsi="仿宋" w:eastAsia="仿宋" w:cs="仿宋"/>
                            </w:rPr>
                          </w:pPr>
                          <w:r>
                            <w:rPr>
                              <w:rFonts w:ascii="仿宋" w:hAnsi="仿宋" w:eastAsia="仿宋" w:cs="仿宋"/>
                            </w:rPr>
                            <w:fldChar w:fldCharType="begin"/>
                          </w:r>
                          <w:r>
                            <w:rPr>
                              <w:rFonts w:ascii="仿宋" w:hAnsi="仿宋" w:eastAsia="仿宋" w:cs="仿宋"/>
                            </w:rPr>
                            <w:instrText xml:space="preserve"> PAGE  \* MERGEFORMAT </w:instrText>
                          </w:r>
                          <w:r>
                            <w:rPr>
                              <w:rFonts w:ascii="仿宋" w:hAnsi="仿宋" w:eastAsia="仿宋" w:cs="仿宋"/>
                            </w:rPr>
                            <w:fldChar w:fldCharType="separate"/>
                          </w:r>
                          <w:r>
                            <w:rPr>
                              <w:rFonts w:ascii="仿宋" w:hAnsi="仿宋" w:eastAsia="仿宋" w:cs="仿宋"/>
                            </w:rPr>
                            <w:t>2</w:t>
                          </w:r>
                          <w:r>
                            <w:rPr>
                              <w:rFonts w:ascii="仿宋" w:hAnsi="仿宋" w:eastAsia="仿宋" w:cs="仿宋"/>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C7ezdp1AEAAKYDAAAOAAAAAAAAAAEAIAAA&#10;ACIBAABkcnMvZTJvRG9jLnhtbFBLBQYAAAAABgAGAFkBAABoBQAAAAA=&#10;">
              <v:fill on="f" focussize="0,0"/>
              <v:stroke on="f" weight="1.25pt"/>
              <v:imagedata o:title=""/>
              <o:lock v:ext="edit" aspectratio="f"/>
              <v:textbox inset="0mm,0mm,0mm,0mm" style="mso-fit-shape-to-text:t;">
                <w:txbxContent>
                  <w:p w14:paraId="159B7166">
                    <w:pPr>
                      <w:pStyle w:val="24"/>
                      <w:rPr>
                        <w:rFonts w:ascii="仿宋" w:hAnsi="仿宋" w:eastAsia="仿宋" w:cs="仿宋"/>
                      </w:rPr>
                    </w:pPr>
                    <w:r>
                      <w:rPr>
                        <w:rFonts w:ascii="仿宋" w:hAnsi="仿宋" w:eastAsia="仿宋" w:cs="仿宋"/>
                      </w:rPr>
                      <w:fldChar w:fldCharType="begin"/>
                    </w:r>
                    <w:r>
                      <w:rPr>
                        <w:rFonts w:ascii="仿宋" w:hAnsi="仿宋" w:eastAsia="仿宋" w:cs="仿宋"/>
                      </w:rPr>
                      <w:instrText xml:space="preserve"> PAGE  \* MERGEFORMAT </w:instrText>
                    </w:r>
                    <w:r>
                      <w:rPr>
                        <w:rFonts w:ascii="仿宋" w:hAnsi="仿宋" w:eastAsia="仿宋" w:cs="仿宋"/>
                      </w:rPr>
                      <w:fldChar w:fldCharType="separate"/>
                    </w:r>
                    <w:r>
                      <w:rPr>
                        <w:rFonts w:ascii="仿宋" w:hAnsi="仿宋" w:eastAsia="仿宋" w:cs="仿宋"/>
                      </w:rPr>
                      <w:t>2</w:t>
                    </w:r>
                    <w:r>
                      <w:rPr>
                        <w:rFonts w:ascii="仿宋" w:hAnsi="仿宋" w:eastAsia="仿宋" w:cs="仿宋"/>
                      </w:rPr>
                      <w:fldChar w:fldCharType="end"/>
                    </w:r>
                  </w:p>
                </w:txbxContent>
              </v:textbox>
            </v:shape>
          </w:pict>
        </mc:Fallback>
      </mc:AlternateContent>
    </w:r>
  </w:p>
  <w:p w14:paraId="0F5E4C9A">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D8BEA">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13574">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E13574">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076F6">
    <w:pPr>
      <w:spacing w:line="240" w:lineRule="auto"/>
      <w:ind w:left="0"/>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3B0BE">
                          <w:pPr>
                            <w:pStyle w:val="2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C3B0BE">
                    <w:pPr>
                      <w:pStyle w:val="2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B4A96">
    <w:pPr>
      <w:spacing w:line="170" w:lineRule="auto"/>
      <w:ind w:left="4262"/>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87B3D">
                          <w:pPr>
                            <w:pStyle w:val="2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387B3D">
                    <w:pPr>
                      <w:pStyle w:val="2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0679E">
    <w:pPr>
      <w:pStyle w:val="25"/>
      <w:pBdr>
        <w:bottom w:val="none" w:color="auto" w:sz="0" w:space="0"/>
      </w:pBdr>
      <w:ind w:firstLine="360" w:firstLineChars="2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40703">
    <w:pPr>
      <w:pStyle w:val="2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C34EA"/>
    <w:multiLevelType w:val="multilevel"/>
    <w:tmpl w:val="F17C34EA"/>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9FD3CD"/>
    <w:multiLevelType w:val="singleLevel"/>
    <w:tmpl w:val="049FD3CD"/>
    <w:lvl w:ilvl="0" w:tentative="0">
      <w:start w:val="6"/>
      <w:numFmt w:val="chineseCounting"/>
      <w:suff w:val="space"/>
      <w:lvlText w:val="第%1章"/>
      <w:lvlJc w:val="left"/>
      <w:rPr>
        <w:rFonts w:hint="eastAsia"/>
      </w:rPr>
    </w:lvl>
  </w:abstractNum>
  <w:abstractNum w:abstractNumId="2">
    <w:nsid w:val="18517B98"/>
    <w:multiLevelType w:val="singleLevel"/>
    <w:tmpl w:val="18517B98"/>
    <w:lvl w:ilvl="0" w:tentative="0">
      <w:start w:val="1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hMjY4YmY4NzU2ZmQ5YTVjZmVkN2UyNGY1ZDBiMmUifQ=="/>
  </w:docVars>
  <w:rsids>
    <w:rsidRoot w:val="009B48DF"/>
    <w:rsid w:val="0000410A"/>
    <w:rsid w:val="0001460D"/>
    <w:rsid w:val="000529CB"/>
    <w:rsid w:val="00055B16"/>
    <w:rsid w:val="00143453"/>
    <w:rsid w:val="00155FAD"/>
    <w:rsid w:val="00170179"/>
    <w:rsid w:val="0017686A"/>
    <w:rsid w:val="002E1AEC"/>
    <w:rsid w:val="00331848"/>
    <w:rsid w:val="0033726A"/>
    <w:rsid w:val="00343B54"/>
    <w:rsid w:val="0039330B"/>
    <w:rsid w:val="003D6D99"/>
    <w:rsid w:val="0049077C"/>
    <w:rsid w:val="004C27E0"/>
    <w:rsid w:val="004C33CE"/>
    <w:rsid w:val="0050746C"/>
    <w:rsid w:val="00532E6F"/>
    <w:rsid w:val="00541F7E"/>
    <w:rsid w:val="005430B9"/>
    <w:rsid w:val="0054536C"/>
    <w:rsid w:val="00546E98"/>
    <w:rsid w:val="00627593"/>
    <w:rsid w:val="006A48D5"/>
    <w:rsid w:val="006E09B3"/>
    <w:rsid w:val="00703ED6"/>
    <w:rsid w:val="00717521"/>
    <w:rsid w:val="00753B81"/>
    <w:rsid w:val="007A51B4"/>
    <w:rsid w:val="007E05D7"/>
    <w:rsid w:val="00821FD8"/>
    <w:rsid w:val="00861C00"/>
    <w:rsid w:val="008752C8"/>
    <w:rsid w:val="008D5DD1"/>
    <w:rsid w:val="008F1A1C"/>
    <w:rsid w:val="009207FE"/>
    <w:rsid w:val="00942ED5"/>
    <w:rsid w:val="0097325D"/>
    <w:rsid w:val="00996BE1"/>
    <w:rsid w:val="009A1F4B"/>
    <w:rsid w:val="009B48DF"/>
    <w:rsid w:val="009C5FE8"/>
    <w:rsid w:val="00A25CA2"/>
    <w:rsid w:val="00A374FD"/>
    <w:rsid w:val="00AC2503"/>
    <w:rsid w:val="00AC57C7"/>
    <w:rsid w:val="00AF06B5"/>
    <w:rsid w:val="00B35778"/>
    <w:rsid w:val="00B779B7"/>
    <w:rsid w:val="00B9597D"/>
    <w:rsid w:val="00BB2D3E"/>
    <w:rsid w:val="00BF6AF0"/>
    <w:rsid w:val="00C321CE"/>
    <w:rsid w:val="00C64218"/>
    <w:rsid w:val="00CF1A97"/>
    <w:rsid w:val="00D975FE"/>
    <w:rsid w:val="00DC25E2"/>
    <w:rsid w:val="00DF3E3F"/>
    <w:rsid w:val="00E312B6"/>
    <w:rsid w:val="00E63827"/>
    <w:rsid w:val="00E85BAF"/>
    <w:rsid w:val="00EA00E6"/>
    <w:rsid w:val="00EA3BC7"/>
    <w:rsid w:val="00EE55CC"/>
    <w:rsid w:val="00EE71B3"/>
    <w:rsid w:val="00EE7D5B"/>
    <w:rsid w:val="00F61AE0"/>
    <w:rsid w:val="00F70A98"/>
    <w:rsid w:val="01075D8C"/>
    <w:rsid w:val="011C73B0"/>
    <w:rsid w:val="011F3FDE"/>
    <w:rsid w:val="014073BC"/>
    <w:rsid w:val="015A7A96"/>
    <w:rsid w:val="019475A3"/>
    <w:rsid w:val="01970029"/>
    <w:rsid w:val="019B4B5F"/>
    <w:rsid w:val="01B123CC"/>
    <w:rsid w:val="01CC13DA"/>
    <w:rsid w:val="0213405C"/>
    <w:rsid w:val="027964D1"/>
    <w:rsid w:val="02903354"/>
    <w:rsid w:val="02E33904"/>
    <w:rsid w:val="02E80809"/>
    <w:rsid w:val="033464A4"/>
    <w:rsid w:val="034630E3"/>
    <w:rsid w:val="034D0F35"/>
    <w:rsid w:val="036F742A"/>
    <w:rsid w:val="039C3254"/>
    <w:rsid w:val="03CE7CF1"/>
    <w:rsid w:val="03E314DF"/>
    <w:rsid w:val="03F51AC0"/>
    <w:rsid w:val="0462668B"/>
    <w:rsid w:val="04640655"/>
    <w:rsid w:val="04785EAF"/>
    <w:rsid w:val="04B229C3"/>
    <w:rsid w:val="04B52B6B"/>
    <w:rsid w:val="04D64024"/>
    <w:rsid w:val="04D9558D"/>
    <w:rsid w:val="04E23328"/>
    <w:rsid w:val="04F46D1B"/>
    <w:rsid w:val="05101F81"/>
    <w:rsid w:val="05303667"/>
    <w:rsid w:val="053E5294"/>
    <w:rsid w:val="053F0AC8"/>
    <w:rsid w:val="054120F9"/>
    <w:rsid w:val="055D5971"/>
    <w:rsid w:val="055F3BF9"/>
    <w:rsid w:val="0564763C"/>
    <w:rsid w:val="05A85838"/>
    <w:rsid w:val="05F45CF5"/>
    <w:rsid w:val="06386DD5"/>
    <w:rsid w:val="064D2153"/>
    <w:rsid w:val="067A7CBC"/>
    <w:rsid w:val="06892726"/>
    <w:rsid w:val="06B52D77"/>
    <w:rsid w:val="06BC75BD"/>
    <w:rsid w:val="06FC73EC"/>
    <w:rsid w:val="070E5F58"/>
    <w:rsid w:val="0712223B"/>
    <w:rsid w:val="073065CD"/>
    <w:rsid w:val="073D639E"/>
    <w:rsid w:val="07405B2E"/>
    <w:rsid w:val="074327A4"/>
    <w:rsid w:val="07444614"/>
    <w:rsid w:val="07724E37"/>
    <w:rsid w:val="07B27CBE"/>
    <w:rsid w:val="07CC279A"/>
    <w:rsid w:val="07E0330F"/>
    <w:rsid w:val="07FE61A7"/>
    <w:rsid w:val="08225C98"/>
    <w:rsid w:val="08231A7D"/>
    <w:rsid w:val="083727D9"/>
    <w:rsid w:val="083D56C4"/>
    <w:rsid w:val="087B6641"/>
    <w:rsid w:val="087D5795"/>
    <w:rsid w:val="089B1765"/>
    <w:rsid w:val="08A74E40"/>
    <w:rsid w:val="08C56C8F"/>
    <w:rsid w:val="091268D2"/>
    <w:rsid w:val="091431ED"/>
    <w:rsid w:val="093D4F1F"/>
    <w:rsid w:val="095A3DD5"/>
    <w:rsid w:val="095E1B17"/>
    <w:rsid w:val="0978713E"/>
    <w:rsid w:val="09944DF1"/>
    <w:rsid w:val="09A137B2"/>
    <w:rsid w:val="09DC6BE0"/>
    <w:rsid w:val="0A5B7E05"/>
    <w:rsid w:val="0A6E4359"/>
    <w:rsid w:val="0A7E03E7"/>
    <w:rsid w:val="0A825EE0"/>
    <w:rsid w:val="0A890BE7"/>
    <w:rsid w:val="0A93266E"/>
    <w:rsid w:val="0AA8032D"/>
    <w:rsid w:val="0AA80AEF"/>
    <w:rsid w:val="0AD52156"/>
    <w:rsid w:val="0AEC273A"/>
    <w:rsid w:val="0AFD0F51"/>
    <w:rsid w:val="0B044B42"/>
    <w:rsid w:val="0B084A5C"/>
    <w:rsid w:val="0B3E32F2"/>
    <w:rsid w:val="0B4A2CED"/>
    <w:rsid w:val="0B6565D7"/>
    <w:rsid w:val="0B6B63A4"/>
    <w:rsid w:val="0B706C61"/>
    <w:rsid w:val="0B870B9C"/>
    <w:rsid w:val="0BAB3585"/>
    <w:rsid w:val="0BBB0ED1"/>
    <w:rsid w:val="0BD502D1"/>
    <w:rsid w:val="0BE908BD"/>
    <w:rsid w:val="0C0A7751"/>
    <w:rsid w:val="0C0B30F7"/>
    <w:rsid w:val="0C3B551F"/>
    <w:rsid w:val="0C9E1148"/>
    <w:rsid w:val="0CA43CE5"/>
    <w:rsid w:val="0D0E3485"/>
    <w:rsid w:val="0D624C43"/>
    <w:rsid w:val="0D766F1E"/>
    <w:rsid w:val="0D8E7236"/>
    <w:rsid w:val="0D9A50E8"/>
    <w:rsid w:val="0DA73361"/>
    <w:rsid w:val="0DCB0A50"/>
    <w:rsid w:val="0DD83629"/>
    <w:rsid w:val="0DE10F54"/>
    <w:rsid w:val="0DF87BA3"/>
    <w:rsid w:val="0E0662D9"/>
    <w:rsid w:val="0E0F1632"/>
    <w:rsid w:val="0E2A3365"/>
    <w:rsid w:val="0E386ACC"/>
    <w:rsid w:val="0E7525BA"/>
    <w:rsid w:val="0E8A668E"/>
    <w:rsid w:val="0E8F4521"/>
    <w:rsid w:val="0EB126E9"/>
    <w:rsid w:val="0EC12CBC"/>
    <w:rsid w:val="0ED26345"/>
    <w:rsid w:val="0F026C5D"/>
    <w:rsid w:val="0F0E5995"/>
    <w:rsid w:val="0F3B1CD4"/>
    <w:rsid w:val="0F59581E"/>
    <w:rsid w:val="0F5B4C54"/>
    <w:rsid w:val="0F6B63CE"/>
    <w:rsid w:val="0F6D27FF"/>
    <w:rsid w:val="0F8E68D2"/>
    <w:rsid w:val="0FC21514"/>
    <w:rsid w:val="0FC95811"/>
    <w:rsid w:val="0FCB3166"/>
    <w:rsid w:val="0FD85A19"/>
    <w:rsid w:val="0FE103BA"/>
    <w:rsid w:val="10113B51"/>
    <w:rsid w:val="103D0107"/>
    <w:rsid w:val="104920C0"/>
    <w:rsid w:val="104B3DC9"/>
    <w:rsid w:val="10793C06"/>
    <w:rsid w:val="10795489"/>
    <w:rsid w:val="10A23996"/>
    <w:rsid w:val="10A51DDA"/>
    <w:rsid w:val="10CA5CE4"/>
    <w:rsid w:val="10CE6F7C"/>
    <w:rsid w:val="10E02A83"/>
    <w:rsid w:val="10E97451"/>
    <w:rsid w:val="10F14A8A"/>
    <w:rsid w:val="11367759"/>
    <w:rsid w:val="113A52E1"/>
    <w:rsid w:val="113C59D7"/>
    <w:rsid w:val="11532506"/>
    <w:rsid w:val="1192307A"/>
    <w:rsid w:val="11B5607E"/>
    <w:rsid w:val="11B936BC"/>
    <w:rsid w:val="11BF6BC2"/>
    <w:rsid w:val="11F038FA"/>
    <w:rsid w:val="122B05C9"/>
    <w:rsid w:val="122F132A"/>
    <w:rsid w:val="12347838"/>
    <w:rsid w:val="125C6E10"/>
    <w:rsid w:val="128400C2"/>
    <w:rsid w:val="128729E4"/>
    <w:rsid w:val="12972C16"/>
    <w:rsid w:val="12CA4DA3"/>
    <w:rsid w:val="12ED3788"/>
    <w:rsid w:val="13382583"/>
    <w:rsid w:val="1359385E"/>
    <w:rsid w:val="13B9339A"/>
    <w:rsid w:val="13C457F7"/>
    <w:rsid w:val="13FB49BE"/>
    <w:rsid w:val="141E7A95"/>
    <w:rsid w:val="143578B9"/>
    <w:rsid w:val="14493884"/>
    <w:rsid w:val="14724ABF"/>
    <w:rsid w:val="1472607A"/>
    <w:rsid w:val="14727B82"/>
    <w:rsid w:val="14AF2FD0"/>
    <w:rsid w:val="14CE64DC"/>
    <w:rsid w:val="14E67B31"/>
    <w:rsid w:val="150B2C2F"/>
    <w:rsid w:val="1564763A"/>
    <w:rsid w:val="15883A78"/>
    <w:rsid w:val="159707E9"/>
    <w:rsid w:val="15A71A14"/>
    <w:rsid w:val="15BA2971"/>
    <w:rsid w:val="165543AD"/>
    <w:rsid w:val="16636E66"/>
    <w:rsid w:val="16726C02"/>
    <w:rsid w:val="168958FE"/>
    <w:rsid w:val="168F33FD"/>
    <w:rsid w:val="16935314"/>
    <w:rsid w:val="16A9290F"/>
    <w:rsid w:val="16B4146C"/>
    <w:rsid w:val="17031089"/>
    <w:rsid w:val="171B411B"/>
    <w:rsid w:val="17212E49"/>
    <w:rsid w:val="173069C1"/>
    <w:rsid w:val="17337B5A"/>
    <w:rsid w:val="1737627A"/>
    <w:rsid w:val="174337FD"/>
    <w:rsid w:val="175E707B"/>
    <w:rsid w:val="176E3694"/>
    <w:rsid w:val="17780248"/>
    <w:rsid w:val="17981D20"/>
    <w:rsid w:val="17A26863"/>
    <w:rsid w:val="17A81466"/>
    <w:rsid w:val="17AA575A"/>
    <w:rsid w:val="17EB33D8"/>
    <w:rsid w:val="18146CF5"/>
    <w:rsid w:val="18446293"/>
    <w:rsid w:val="18467139"/>
    <w:rsid w:val="18546D65"/>
    <w:rsid w:val="1856616D"/>
    <w:rsid w:val="186B20A7"/>
    <w:rsid w:val="18746F20"/>
    <w:rsid w:val="188F174B"/>
    <w:rsid w:val="18B20DB5"/>
    <w:rsid w:val="18B87534"/>
    <w:rsid w:val="18C524CD"/>
    <w:rsid w:val="18CD45C3"/>
    <w:rsid w:val="18E966A5"/>
    <w:rsid w:val="18FE7A0E"/>
    <w:rsid w:val="1921757D"/>
    <w:rsid w:val="19306900"/>
    <w:rsid w:val="19612A86"/>
    <w:rsid w:val="196D6FE0"/>
    <w:rsid w:val="1971296E"/>
    <w:rsid w:val="19A20A8A"/>
    <w:rsid w:val="19A44C2A"/>
    <w:rsid w:val="19A52E4A"/>
    <w:rsid w:val="19BF01CB"/>
    <w:rsid w:val="19C81B85"/>
    <w:rsid w:val="19E57964"/>
    <w:rsid w:val="1A03100D"/>
    <w:rsid w:val="1A14571C"/>
    <w:rsid w:val="1A19092D"/>
    <w:rsid w:val="1A385091"/>
    <w:rsid w:val="1A5A6AE4"/>
    <w:rsid w:val="1A8472A0"/>
    <w:rsid w:val="1ACF7D6C"/>
    <w:rsid w:val="1AFD6923"/>
    <w:rsid w:val="1B05696E"/>
    <w:rsid w:val="1B1D2D4A"/>
    <w:rsid w:val="1B6804C1"/>
    <w:rsid w:val="1B6B3C20"/>
    <w:rsid w:val="1B8E3479"/>
    <w:rsid w:val="1B9F59CA"/>
    <w:rsid w:val="1BA54332"/>
    <w:rsid w:val="1BAA299A"/>
    <w:rsid w:val="1BC869B7"/>
    <w:rsid w:val="1BCF6F9E"/>
    <w:rsid w:val="1BD143CB"/>
    <w:rsid w:val="1BD5318C"/>
    <w:rsid w:val="1BE05882"/>
    <w:rsid w:val="1BF56798"/>
    <w:rsid w:val="1BF96F27"/>
    <w:rsid w:val="1BFF6654"/>
    <w:rsid w:val="1C2D0EDB"/>
    <w:rsid w:val="1C3D531C"/>
    <w:rsid w:val="1C6D59DE"/>
    <w:rsid w:val="1CC00673"/>
    <w:rsid w:val="1CC007AA"/>
    <w:rsid w:val="1CCD19F5"/>
    <w:rsid w:val="1CDD206F"/>
    <w:rsid w:val="1D1E4557"/>
    <w:rsid w:val="1D362D92"/>
    <w:rsid w:val="1D3D790D"/>
    <w:rsid w:val="1D731C69"/>
    <w:rsid w:val="1D760B91"/>
    <w:rsid w:val="1D7C2EAF"/>
    <w:rsid w:val="1D840B56"/>
    <w:rsid w:val="1DF2334D"/>
    <w:rsid w:val="1DF45FE7"/>
    <w:rsid w:val="1E1D501B"/>
    <w:rsid w:val="1E7A2ECE"/>
    <w:rsid w:val="1E7D4F25"/>
    <w:rsid w:val="1E964E5A"/>
    <w:rsid w:val="1EB55911"/>
    <w:rsid w:val="1EBF379B"/>
    <w:rsid w:val="1ED07470"/>
    <w:rsid w:val="1EF56A14"/>
    <w:rsid w:val="1F494278"/>
    <w:rsid w:val="1F591157"/>
    <w:rsid w:val="1F5E63EB"/>
    <w:rsid w:val="1F7327E7"/>
    <w:rsid w:val="1F9B70D8"/>
    <w:rsid w:val="1F9C4794"/>
    <w:rsid w:val="1FC06346"/>
    <w:rsid w:val="1FF76744"/>
    <w:rsid w:val="201860ED"/>
    <w:rsid w:val="201B6DB2"/>
    <w:rsid w:val="202661BC"/>
    <w:rsid w:val="204C7ACA"/>
    <w:rsid w:val="20955F24"/>
    <w:rsid w:val="20B6584F"/>
    <w:rsid w:val="20B8169F"/>
    <w:rsid w:val="20D34358"/>
    <w:rsid w:val="20ED1290"/>
    <w:rsid w:val="20ED6545"/>
    <w:rsid w:val="20EE6C6C"/>
    <w:rsid w:val="21031D93"/>
    <w:rsid w:val="214A62EE"/>
    <w:rsid w:val="21512004"/>
    <w:rsid w:val="215C01D8"/>
    <w:rsid w:val="216D1137"/>
    <w:rsid w:val="21CE01EE"/>
    <w:rsid w:val="21CF7DF2"/>
    <w:rsid w:val="21E14771"/>
    <w:rsid w:val="22065DF9"/>
    <w:rsid w:val="220C33BF"/>
    <w:rsid w:val="22245CDE"/>
    <w:rsid w:val="2295157D"/>
    <w:rsid w:val="22B14262"/>
    <w:rsid w:val="22C5455D"/>
    <w:rsid w:val="22D26A96"/>
    <w:rsid w:val="22F5094C"/>
    <w:rsid w:val="2304135F"/>
    <w:rsid w:val="231F5CA5"/>
    <w:rsid w:val="23445083"/>
    <w:rsid w:val="239759A0"/>
    <w:rsid w:val="23A1069B"/>
    <w:rsid w:val="23CE1599"/>
    <w:rsid w:val="23DE1B99"/>
    <w:rsid w:val="23EC602C"/>
    <w:rsid w:val="23FF3B04"/>
    <w:rsid w:val="240F662E"/>
    <w:rsid w:val="242678EC"/>
    <w:rsid w:val="24703BFE"/>
    <w:rsid w:val="2472599D"/>
    <w:rsid w:val="247D7ABB"/>
    <w:rsid w:val="24AD13DD"/>
    <w:rsid w:val="24AE5068"/>
    <w:rsid w:val="24FA742B"/>
    <w:rsid w:val="250A3188"/>
    <w:rsid w:val="251C6CA0"/>
    <w:rsid w:val="25543386"/>
    <w:rsid w:val="25703546"/>
    <w:rsid w:val="25774A98"/>
    <w:rsid w:val="259B1FAD"/>
    <w:rsid w:val="25FF0991"/>
    <w:rsid w:val="26124578"/>
    <w:rsid w:val="26325345"/>
    <w:rsid w:val="26353C73"/>
    <w:rsid w:val="263E4F05"/>
    <w:rsid w:val="26427050"/>
    <w:rsid w:val="265427AF"/>
    <w:rsid w:val="26752C4A"/>
    <w:rsid w:val="26967EF6"/>
    <w:rsid w:val="26AF355A"/>
    <w:rsid w:val="26DA29B1"/>
    <w:rsid w:val="27013865"/>
    <w:rsid w:val="27220E48"/>
    <w:rsid w:val="273F3A3B"/>
    <w:rsid w:val="275E3C04"/>
    <w:rsid w:val="277A74CA"/>
    <w:rsid w:val="2789756B"/>
    <w:rsid w:val="279839C7"/>
    <w:rsid w:val="279E6027"/>
    <w:rsid w:val="27AA1DE7"/>
    <w:rsid w:val="27CC0C88"/>
    <w:rsid w:val="27DE2F5A"/>
    <w:rsid w:val="27E17BB3"/>
    <w:rsid w:val="27E53350"/>
    <w:rsid w:val="28202F73"/>
    <w:rsid w:val="28347ABC"/>
    <w:rsid w:val="288860A4"/>
    <w:rsid w:val="28930264"/>
    <w:rsid w:val="2899001E"/>
    <w:rsid w:val="28BE4931"/>
    <w:rsid w:val="28D05C31"/>
    <w:rsid w:val="28D97C0B"/>
    <w:rsid w:val="292A0B77"/>
    <w:rsid w:val="293549EE"/>
    <w:rsid w:val="293A5A7B"/>
    <w:rsid w:val="29622B06"/>
    <w:rsid w:val="296A3A90"/>
    <w:rsid w:val="299855D9"/>
    <w:rsid w:val="29D86924"/>
    <w:rsid w:val="29EE5D30"/>
    <w:rsid w:val="29FA174C"/>
    <w:rsid w:val="2A3D7F96"/>
    <w:rsid w:val="2A614B6C"/>
    <w:rsid w:val="2A8729FA"/>
    <w:rsid w:val="2AA06F66"/>
    <w:rsid w:val="2AA97B2A"/>
    <w:rsid w:val="2AB332A5"/>
    <w:rsid w:val="2AD61C72"/>
    <w:rsid w:val="2AE760F5"/>
    <w:rsid w:val="2AFC6642"/>
    <w:rsid w:val="2B267F12"/>
    <w:rsid w:val="2B2B56EE"/>
    <w:rsid w:val="2B643B68"/>
    <w:rsid w:val="2B942D1F"/>
    <w:rsid w:val="2BA93F1F"/>
    <w:rsid w:val="2BC23ED2"/>
    <w:rsid w:val="2BEF1C6F"/>
    <w:rsid w:val="2C043AE3"/>
    <w:rsid w:val="2C1A1BC7"/>
    <w:rsid w:val="2C4A0F59"/>
    <w:rsid w:val="2C545C6D"/>
    <w:rsid w:val="2C666992"/>
    <w:rsid w:val="2C777F30"/>
    <w:rsid w:val="2C7E4D8C"/>
    <w:rsid w:val="2C81796F"/>
    <w:rsid w:val="2C8B42A1"/>
    <w:rsid w:val="2C944396"/>
    <w:rsid w:val="2C985D87"/>
    <w:rsid w:val="2CAB593A"/>
    <w:rsid w:val="2CC12833"/>
    <w:rsid w:val="2CF673E5"/>
    <w:rsid w:val="2D2B30CD"/>
    <w:rsid w:val="2D396A58"/>
    <w:rsid w:val="2D552BF5"/>
    <w:rsid w:val="2D686155"/>
    <w:rsid w:val="2D8408C4"/>
    <w:rsid w:val="2E031221"/>
    <w:rsid w:val="2E2E1209"/>
    <w:rsid w:val="2E623CA1"/>
    <w:rsid w:val="2E7A2C18"/>
    <w:rsid w:val="2E8A7870"/>
    <w:rsid w:val="2E9F48B5"/>
    <w:rsid w:val="2EA641B8"/>
    <w:rsid w:val="2EFC189A"/>
    <w:rsid w:val="2F2A0293"/>
    <w:rsid w:val="2F382B7C"/>
    <w:rsid w:val="2F6C4A60"/>
    <w:rsid w:val="2FA14893"/>
    <w:rsid w:val="2FDE2982"/>
    <w:rsid w:val="2FE14B66"/>
    <w:rsid w:val="309E405F"/>
    <w:rsid w:val="30AB167D"/>
    <w:rsid w:val="30B04157"/>
    <w:rsid w:val="30C07A6A"/>
    <w:rsid w:val="30CD3455"/>
    <w:rsid w:val="30E9259B"/>
    <w:rsid w:val="30E964AE"/>
    <w:rsid w:val="30EA3089"/>
    <w:rsid w:val="3117119D"/>
    <w:rsid w:val="3119464C"/>
    <w:rsid w:val="312B5DB5"/>
    <w:rsid w:val="314F7A2E"/>
    <w:rsid w:val="31626F14"/>
    <w:rsid w:val="319104AA"/>
    <w:rsid w:val="31C72AF9"/>
    <w:rsid w:val="31D30DB5"/>
    <w:rsid w:val="31F63170"/>
    <w:rsid w:val="31FE334E"/>
    <w:rsid w:val="32010990"/>
    <w:rsid w:val="32212553"/>
    <w:rsid w:val="32274521"/>
    <w:rsid w:val="327C4B3B"/>
    <w:rsid w:val="32825138"/>
    <w:rsid w:val="32BC7FB1"/>
    <w:rsid w:val="32DA4E99"/>
    <w:rsid w:val="32DB2068"/>
    <w:rsid w:val="32E904C3"/>
    <w:rsid w:val="32E92A1A"/>
    <w:rsid w:val="331C7BC1"/>
    <w:rsid w:val="334868C9"/>
    <w:rsid w:val="336A53A0"/>
    <w:rsid w:val="33907200"/>
    <w:rsid w:val="33A00EAD"/>
    <w:rsid w:val="33CC5FFD"/>
    <w:rsid w:val="33DA3419"/>
    <w:rsid w:val="33F348F2"/>
    <w:rsid w:val="341A32C5"/>
    <w:rsid w:val="3425595B"/>
    <w:rsid w:val="34570BC1"/>
    <w:rsid w:val="349A5E76"/>
    <w:rsid w:val="34A66C5A"/>
    <w:rsid w:val="34CA11DC"/>
    <w:rsid w:val="352A0707"/>
    <w:rsid w:val="355359F9"/>
    <w:rsid w:val="35641769"/>
    <w:rsid w:val="356F7658"/>
    <w:rsid w:val="358271AC"/>
    <w:rsid w:val="358843ED"/>
    <w:rsid w:val="35D97240"/>
    <w:rsid w:val="36100288"/>
    <w:rsid w:val="365E28A7"/>
    <w:rsid w:val="367410CE"/>
    <w:rsid w:val="36745580"/>
    <w:rsid w:val="36844461"/>
    <w:rsid w:val="368F2A60"/>
    <w:rsid w:val="369C2AD1"/>
    <w:rsid w:val="36B03C84"/>
    <w:rsid w:val="36DD2DB2"/>
    <w:rsid w:val="37036D65"/>
    <w:rsid w:val="37067758"/>
    <w:rsid w:val="372208D7"/>
    <w:rsid w:val="37820CDD"/>
    <w:rsid w:val="37A31004"/>
    <w:rsid w:val="37B40054"/>
    <w:rsid w:val="37C348CE"/>
    <w:rsid w:val="37C853B1"/>
    <w:rsid w:val="37CD2148"/>
    <w:rsid w:val="37EE79E5"/>
    <w:rsid w:val="38094F23"/>
    <w:rsid w:val="383579E4"/>
    <w:rsid w:val="384C6277"/>
    <w:rsid w:val="388A449C"/>
    <w:rsid w:val="3890113D"/>
    <w:rsid w:val="38A81193"/>
    <w:rsid w:val="38C2711D"/>
    <w:rsid w:val="38C439F0"/>
    <w:rsid w:val="38CA41E5"/>
    <w:rsid w:val="38D0310B"/>
    <w:rsid w:val="38DB3737"/>
    <w:rsid w:val="38DD6EA6"/>
    <w:rsid w:val="390A17CB"/>
    <w:rsid w:val="392A609D"/>
    <w:rsid w:val="3934169D"/>
    <w:rsid w:val="39406294"/>
    <w:rsid w:val="39562F4D"/>
    <w:rsid w:val="395B62DE"/>
    <w:rsid w:val="39A71E6F"/>
    <w:rsid w:val="39B05824"/>
    <w:rsid w:val="39B55B34"/>
    <w:rsid w:val="39D91CEF"/>
    <w:rsid w:val="39E4232E"/>
    <w:rsid w:val="39EA0A43"/>
    <w:rsid w:val="39ED2ADD"/>
    <w:rsid w:val="3A22101E"/>
    <w:rsid w:val="3A355D3D"/>
    <w:rsid w:val="3A3F165B"/>
    <w:rsid w:val="3A4D04EA"/>
    <w:rsid w:val="3A8F5302"/>
    <w:rsid w:val="3A91214E"/>
    <w:rsid w:val="3AC535F5"/>
    <w:rsid w:val="3ADF2A1C"/>
    <w:rsid w:val="3AE13158"/>
    <w:rsid w:val="3AEA2D95"/>
    <w:rsid w:val="3AEE3123"/>
    <w:rsid w:val="3B09683C"/>
    <w:rsid w:val="3B197024"/>
    <w:rsid w:val="3B7D37CF"/>
    <w:rsid w:val="3B83508A"/>
    <w:rsid w:val="3BC42774"/>
    <w:rsid w:val="3BC95BD3"/>
    <w:rsid w:val="3BEA79F5"/>
    <w:rsid w:val="3BF15DDE"/>
    <w:rsid w:val="3BF73589"/>
    <w:rsid w:val="3C1A7270"/>
    <w:rsid w:val="3C1F6B07"/>
    <w:rsid w:val="3C4201F1"/>
    <w:rsid w:val="3C465BE7"/>
    <w:rsid w:val="3C526A0A"/>
    <w:rsid w:val="3C87197D"/>
    <w:rsid w:val="3CAF5842"/>
    <w:rsid w:val="3CD63197"/>
    <w:rsid w:val="3CF8744E"/>
    <w:rsid w:val="3CFD13DA"/>
    <w:rsid w:val="3D061745"/>
    <w:rsid w:val="3D157708"/>
    <w:rsid w:val="3D2B730A"/>
    <w:rsid w:val="3D366DA9"/>
    <w:rsid w:val="3D3F375D"/>
    <w:rsid w:val="3D453F32"/>
    <w:rsid w:val="3D4969BD"/>
    <w:rsid w:val="3D6F4D67"/>
    <w:rsid w:val="3D8D09B4"/>
    <w:rsid w:val="3DB85A74"/>
    <w:rsid w:val="3DC41BE4"/>
    <w:rsid w:val="3DC56D68"/>
    <w:rsid w:val="3E1C3260"/>
    <w:rsid w:val="3E29106D"/>
    <w:rsid w:val="3E632086"/>
    <w:rsid w:val="3E6C74F8"/>
    <w:rsid w:val="3E907AF5"/>
    <w:rsid w:val="3EDF2BE3"/>
    <w:rsid w:val="3EE31C98"/>
    <w:rsid w:val="3F6F4ECC"/>
    <w:rsid w:val="3F795146"/>
    <w:rsid w:val="3F810DEA"/>
    <w:rsid w:val="3FA56E51"/>
    <w:rsid w:val="3FC97621"/>
    <w:rsid w:val="3FED76D5"/>
    <w:rsid w:val="40104483"/>
    <w:rsid w:val="4014551C"/>
    <w:rsid w:val="40242B4C"/>
    <w:rsid w:val="403F2E01"/>
    <w:rsid w:val="40684B16"/>
    <w:rsid w:val="40697DD3"/>
    <w:rsid w:val="408F280B"/>
    <w:rsid w:val="41003B3C"/>
    <w:rsid w:val="41311AF2"/>
    <w:rsid w:val="41652757"/>
    <w:rsid w:val="41A030B6"/>
    <w:rsid w:val="41A3363E"/>
    <w:rsid w:val="41E55305"/>
    <w:rsid w:val="41EE333C"/>
    <w:rsid w:val="420C26CA"/>
    <w:rsid w:val="42790CD5"/>
    <w:rsid w:val="42792F72"/>
    <w:rsid w:val="42AB00D3"/>
    <w:rsid w:val="42B64B6D"/>
    <w:rsid w:val="42BA1FB0"/>
    <w:rsid w:val="42CA0181"/>
    <w:rsid w:val="42EC2F9E"/>
    <w:rsid w:val="43011F57"/>
    <w:rsid w:val="431D0C44"/>
    <w:rsid w:val="43323065"/>
    <w:rsid w:val="43741A08"/>
    <w:rsid w:val="43A30ECB"/>
    <w:rsid w:val="43AD470A"/>
    <w:rsid w:val="43B86C46"/>
    <w:rsid w:val="43C80FE1"/>
    <w:rsid w:val="43D16F11"/>
    <w:rsid w:val="43E418EF"/>
    <w:rsid w:val="43E551EC"/>
    <w:rsid w:val="43F62DD9"/>
    <w:rsid w:val="43F91071"/>
    <w:rsid w:val="44051DE3"/>
    <w:rsid w:val="442C5F84"/>
    <w:rsid w:val="44520390"/>
    <w:rsid w:val="4469183B"/>
    <w:rsid w:val="44D75998"/>
    <w:rsid w:val="44DC6853"/>
    <w:rsid w:val="4500604D"/>
    <w:rsid w:val="45056C2F"/>
    <w:rsid w:val="451122AC"/>
    <w:rsid w:val="4518241E"/>
    <w:rsid w:val="451E30B0"/>
    <w:rsid w:val="45314BBE"/>
    <w:rsid w:val="454F13D2"/>
    <w:rsid w:val="456627B6"/>
    <w:rsid w:val="458D4BC6"/>
    <w:rsid w:val="45A17A1D"/>
    <w:rsid w:val="45BB517F"/>
    <w:rsid w:val="45C24234"/>
    <w:rsid w:val="461A0270"/>
    <w:rsid w:val="466D4AA8"/>
    <w:rsid w:val="46CD4BA5"/>
    <w:rsid w:val="46D82542"/>
    <w:rsid w:val="470501FD"/>
    <w:rsid w:val="47406A28"/>
    <w:rsid w:val="47426CD5"/>
    <w:rsid w:val="47640BDB"/>
    <w:rsid w:val="4766060A"/>
    <w:rsid w:val="478A64AC"/>
    <w:rsid w:val="47BE00A6"/>
    <w:rsid w:val="47BE1773"/>
    <w:rsid w:val="47CA7D9C"/>
    <w:rsid w:val="47CD12AF"/>
    <w:rsid w:val="47D90D16"/>
    <w:rsid w:val="47EC1443"/>
    <w:rsid w:val="480D5C76"/>
    <w:rsid w:val="481014EF"/>
    <w:rsid w:val="48254FD3"/>
    <w:rsid w:val="4843499C"/>
    <w:rsid w:val="48645800"/>
    <w:rsid w:val="486C0903"/>
    <w:rsid w:val="487509EE"/>
    <w:rsid w:val="489B67A0"/>
    <w:rsid w:val="48A36EA2"/>
    <w:rsid w:val="48CE2E9C"/>
    <w:rsid w:val="48D507A7"/>
    <w:rsid w:val="49077F35"/>
    <w:rsid w:val="4918679A"/>
    <w:rsid w:val="49192C47"/>
    <w:rsid w:val="496646D3"/>
    <w:rsid w:val="496A1B8C"/>
    <w:rsid w:val="49770892"/>
    <w:rsid w:val="498779AB"/>
    <w:rsid w:val="498C2C2A"/>
    <w:rsid w:val="49B54AFD"/>
    <w:rsid w:val="49CB643F"/>
    <w:rsid w:val="49D63D27"/>
    <w:rsid w:val="49E414D9"/>
    <w:rsid w:val="49F52ED9"/>
    <w:rsid w:val="4A1C5CEF"/>
    <w:rsid w:val="4A1F52FD"/>
    <w:rsid w:val="4A2A3F17"/>
    <w:rsid w:val="4A4062BD"/>
    <w:rsid w:val="4A740D9F"/>
    <w:rsid w:val="4A7D0020"/>
    <w:rsid w:val="4ABD4015"/>
    <w:rsid w:val="4AD35E7C"/>
    <w:rsid w:val="4AE867C5"/>
    <w:rsid w:val="4B1C717D"/>
    <w:rsid w:val="4B2211C7"/>
    <w:rsid w:val="4B2D50D5"/>
    <w:rsid w:val="4B5856BF"/>
    <w:rsid w:val="4B622912"/>
    <w:rsid w:val="4B7D4F4B"/>
    <w:rsid w:val="4BDB3A98"/>
    <w:rsid w:val="4BDD5177"/>
    <w:rsid w:val="4BEA1A93"/>
    <w:rsid w:val="4BEE2388"/>
    <w:rsid w:val="4BFF7F99"/>
    <w:rsid w:val="4C4E2F82"/>
    <w:rsid w:val="4C544483"/>
    <w:rsid w:val="4C564854"/>
    <w:rsid w:val="4C630F38"/>
    <w:rsid w:val="4C8279F7"/>
    <w:rsid w:val="4CA715AF"/>
    <w:rsid w:val="4CD3202C"/>
    <w:rsid w:val="4CDF463E"/>
    <w:rsid w:val="4CF3569F"/>
    <w:rsid w:val="4CF430A8"/>
    <w:rsid w:val="4D020E04"/>
    <w:rsid w:val="4D0A0E99"/>
    <w:rsid w:val="4D0D0198"/>
    <w:rsid w:val="4D0D6817"/>
    <w:rsid w:val="4D366BFC"/>
    <w:rsid w:val="4D625E7D"/>
    <w:rsid w:val="4D7C79A7"/>
    <w:rsid w:val="4DB84F86"/>
    <w:rsid w:val="4DB85903"/>
    <w:rsid w:val="4DC54B1B"/>
    <w:rsid w:val="4DCD47D1"/>
    <w:rsid w:val="4DE14B73"/>
    <w:rsid w:val="4DE90582"/>
    <w:rsid w:val="4DFB3170"/>
    <w:rsid w:val="4DFE7488"/>
    <w:rsid w:val="4E0F3D94"/>
    <w:rsid w:val="4E1445E2"/>
    <w:rsid w:val="4E493DC2"/>
    <w:rsid w:val="4E634CF9"/>
    <w:rsid w:val="4E74636C"/>
    <w:rsid w:val="4E7E1755"/>
    <w:rsid w:val="4E803FD7"/>
    <w:rsid w:val="4EB10802"/>
    <w:rsid w:val="4EC04238"/>
    <w:rsid w:val="4EC563A5"/>
    <w:rsid w:val="4F046E90"/>
    <w:rsid w:val="4F466474"/>
    <w:rsid w:val="4F474421"/>
    <w:rsid w:val="4F8627FB"/>
    <w:rsid w:val="4FA964E9"/>
    <w:rsid w:val="4FDA6F48"/>
    <w:rsid w:val="5019729D"/>
    <w:rsid w:val="50212524"/>
    <w:rsid w:val="502812CA"/>
    <w:rsid w:val="504B646D"/>
    <w:rsid w:val="50560331"/>
    <w:rsid w:val="50593A6B"/>
    <w:rsid w:val="505F0637"/>
    <w:rsid w:val="50622906"/>
    <w:rsid w:val="506B0273"/>
    <w:rsid w:val="5095284C"/>
    <w:rsid w:val="50962DE8"/>
    <w:rsid w:val="50C704AE"/>
    <w:rsid w:val="50DB061C"/>
    <w:rsid w:val="50E60228"/>
    <w:rsid w:val="50E96F66"/>
    <w:rsid w:val="50ED3C72"/>
    <w:rsid w:val="512E4FD6"/>
    <w:rsid w:val="514D4FB8"/>
    <w:rsid w:val="51580B5D"/>
    <w:rsid w:val="516106D8"/>
    <w:rsid w:val="51641800"/>
    <w:rsid w:val="519217C6"/>
    <w:rsid w:val="51C71A07"/>
    <w:rsid w:val="51C831E7"/>
    <w:rsid w:val="51D934FF"/>
    <w:rsid w:val="52270052"/>
    <w:rsid w:val="522731EF"/>
    <w:rsid w:val="523E3075"/>
    <w:rsid w:val="52494FBF"/>
    <w:rsid w:val="52556590"/>
    <w:rsid w:val="525840E2"/>
    <w:rsid w:val="525D5B36"/>
    <w:rsid w:val="527D33BA"/>
    <w:rsid w:val="529F2E1B"/>
    <w:rsid w:val="52B23746"/>
    <w:rsid w:val="52BC704D"/>
    <w:rsid w:val="52C537FB"/>
    <w:rsid w:val="52C9586D"/>
    <w:rsid w:val="52D12554"/>
    <w:rsid w:val="52E6204F"/>
    <w:rsid w:val="5322550B"/>
    <w:rsid w:val="5336727E"/>
    <w:rsid w:val="536774ED"/>
    <w:rsid w:val="536B6D08"/>
    <w:rsid w:val="539F457F"/>
    <w:rsid w:val="53B61179"/>
    <w:rsid w:val="53ED54FF"/>
    <w:rsid w:val="53F464B5"/>
    <w:rsid w:val="54041F54"/>
    <w:rsid w:val="54092628"/>
    <w:rsid w:val="54234433"/>
    <w:rsid w:val="543D36A4"/>
    <w:rsid w:val="545B4FCC"/>
    <w:rsid w:val="546A4242"/>
    <w:rsid w:val="547B5444"/>
    <w:rsid w:val="54992483"/>
    <w:rsid w:val="54AA765F"/>
    <w:rsid w:val="54EA55DA"/>
    <w:rsid w:val="553821B7"/>
    <w:rsid w:val="55935B3A"/>
    <w:rsid w:val="559968A2"/>
    <w:rsid w:val="55C24F51"/>
    <w:rsid w:val="55C70C1F"/>
    <w:rsid w:val="55CD753A"/>
    <w:rsid w:val="55E13492"/>
    <w:rsid w:val="560E7779"/>
    <w:rsid w:val="56297B01"/>
    <w:rsid w:val="562E14F6"/>
    <w:rsid w:val="567A171C"/>
    <w:rsid w:val="56A03E61"/>
    <w:rsid w:val="56AF0BF5"/>
    <w:rsid w:val="56D10FA9"/>
    <w:rsid w:val="56D81969"/>
    <w:rsid w:val="56F12185"/>
    <w:rsid w:val="5727244E"/>
    <w:rsid w:val="576823DC"/>
    <w:rsid w:val="57851398"/>
    <w:rsid w:val="579D0A70"/>
    <w:rsid w:val="57BB6E2D"/>
    <w:rsid w:val="57E35212"/>
    <w:rsid w:val="57E5052A"/>
    <w:rsid w:val="57EE2423"/>
    <w:rsid w:val="58020589"/>
    <w:rsid w:val="58182006"/>
    <w:rsid w:val="582067D7"/>
    <w:rsid w:val="58240E03"/>
    <w:rsid w:val="58506EF2"/>
    <w:rsid w:val="585719AD"/>
    <w:rsid w:val="586557CD"/>
    <w:rsid w:val="5873610F"/>
    <w:rsid w:val="587415B4"/>
    <w:rsid w:val="58975A79"/>
    <w:rsid w:val="58AE29ED"/>
    <w:rsid w:val="58BB7E74"/>
    <w:rsid w:val="58C94488"/>
    <w:rsid w:val="58DA7713"/>
    <w:rsid w:val="59217E5C"/>
    <w:rsid w:val="592926FA"/>
    <w:rsid w:val="596762D8"/>
    <w:rsid w:val="5968095D"/>
    <w:rsid w:val="598E3035"/>
    <w:rsid w:val="599B2C25"/>
    <w:rsid w:val="599C51B8"/>
    <w:rsid w:val="599E18A9"/>
    <w:rsid w:val="59A57969"/>
    <w:rsid w:val="59E2398B"/>
    <w:rsid w:val="5A2A6441"/>
    <w:rsid w:val="5A2C3887"/>
    <w:rsid w:val="5A3067DE"/>
    <w:rsid w:val="5A5968C5"/>
    <w:rsid w:val="5A871E10"/>
    <w:rsid w:val="5AF54950"/>
    <w:rsid w:val="5AFF16B3"/>
    <w:rsid w:val="5B151566"/>
    <w:rsid w:val="5B490B5E"/>
    <w:rsid w:val="5B7C6B4C"/>
    <w:rsid w:val="5BBA33A1"/>
    <w:rsid w:val="5C017999"/>
    <w:rsid w:val="5C1B231A"/>
    <w:rsid w:val="5C2502C2"/>
    <w:rsid w:val="5C427E46"/>
    <w:rsid w:val="5C4A4887"/>
    <w:rsid w:val="5C5A51AA"/>
    <w:rsid w:val="5C6154D1"/>
    <w:rsid w:val="5C7560D1"/>
    <w:rsid w:val="5CBB0641"/>
    <w:rsid w:val="5CF04C18"/>
    <w:rsid w:val="5CF166DD"/>
    <w:rsid w:val="5D60418B"/>
    <w:rsid w:val="5D8234CA"/>
    <w:rsid w:val="5DCB3ACF"/>
    <w:rsid w:val="5DE4445D"/>
    <w:rsid w:val="5DF72B16"/>
    <w:rsid w:val="5E5308F8"/>
    <w:rsid w:val="5E641180"/>
    <w:rsid w:val="5E6A25EC"/>
    <w:rsid w:val="5E7A2F1B"/>
    <w:rsid w:val="5EB66A7B"/>
    <w:rsid w:val="5ED11130"/>
    <w:rsid w:val="5EDF5773"/>
    <w:rsid w:val="5EE31B18"/>
    <w:rsid w:val="5EEC77FB"/>
    <w:rsid w:val="5EF85165"/>
    <w:rsid w:val="5F132B6E"/>
    <w:rsid w:val="5F4C65AC"/>
    <w:rsid w:val="5F5A17B4"/>
    <w:rsid w:val="5FB95550"/>
    <w:rsid w:val="5FC51EF3"/>
    <w:rsid w:val="5FD1385A"/>
    <w:rsid w:val="5FF26ACB"/>
    <w:rsid w:val="603D6F06"/>
    <w:rsid w:val="6052474D"/>
    <w:rsid w:val="60757795"/>
    <w:rsid w:val="60786B3E"/>
    <w:rsid w:val="60C019B6"/>
    <w:rsid w:val="60D36EBD"/>
    <w:rsid w:val="60E254EE"/>
    <w:rsid w:val="60F116E2"/>
    <w:rsid w:val="614F0BA7"/>
    <w:rsid w:val="61770A9D"/>
    <w:rsid w:val="61846C19"/>
    <w:rsid w:val="61AD4ED9"/>
    <w:rsid w:val="61B7497F"/>
    <w:rsid w:val="61C20B9F"/>
    <w:rsid w:val="61CE42E1"/>
    <w:rsid w:val="61D03DA9"/>
    <w:rsid w:val="61D84465"/>
    <w:rsid w:val="621D386F"/>
    <w:rsid w:val="62486411"/>
    <w:rsid w:val="6283165F"/>
    <w:rsid w:val="62A6446A"/>
    <w:rsid w:val="631B2E02"/>
    <w:rsid w:val="63471E49"/>
    <w:rsid w:val="636C6202"/>
    <w:rsid w:val="638D0BB6"/>
    <w:rsid w:val="63971DFB"/>
    <w:rsid w:val="63BD593F"/>
    <w:rsid w:val="63D27897"/>
    <w:rsid w:val="63FC0E86"/>
    <w:rsid w:val="640A6E4B"/>
    <w:rsid w:val="640B7987"/>
    <w:rsid w:val="64253B90"/>
    <w:rsid w:val="642C0F56"/>
    <w:rsid w:val="64307FE1"/>
    <w:rsid w:val="6472201C"/>
    <w:rsid w:val="64BB489D"/>
    <w:rsid w:val="64C80F41"/>
    <w:rsid w:val="650751C3"/>
    <w:rsid w:val="65134CD8"/>
    <w:rsid w:val="65286D86"/>
    <w:rsid w:val="652F4D25"/>
    <w:rsid w:val="655567DF"/>
    <w:rsid w:val="65986E42"/>
    <w:rsid w:val="65D75600"/>
    <w:rsid w:val="65E4518A"/>
    <w:rsid w:val="65ED464A"/>
    <w:rsid w:val="661E3FFC"/>
    <w:rsid w:val="6632293D"/>
    <w:rsid w:val="66891892"/>
    <w:rsid w:val="66A5649A"/>
    <w:rsid w:val="66CA4107"/>
    <w:rsid w:val="66EA6552"/>
    <w:rsid w:val="66F5123F"/>
    <w:rsid w:val="6705080D"/>
    <w:rsid w:val="67173097"/>
    <w:rsid w:val="67317ECF"/>
    <w:rsid w:val="677448EE"/>
    <w:rsid w:val="67BF28F6"/>
    <w:rsid w:val="67C26A25"/>
    <w:rsid w:val="67FB50D3"/>
    <w:rsid w:val="68061D81"/>
    <w:rsid w:val="681E6EDA"/>
    <w:rsid w:val="682A0E30"/>
    <w:rsid w:val="68311DC9"/>
    <w:rsid w:val="68391CC5"/>
    <w:rsid w:val="68496E0F"/>
    <w:rsid w:val="68534DEC"/>
    <w:rsid w:val="68563006"/>
    <w:rsid w:val="685C6A8E"/>
    <w:rsid w:val="686B7C88"/>
    <w:rsid w:val="68771CD0"/>
    <w:rsid w:val="68A61DC8"/>
    <w:rsid w:val="68D20E7C"/>
    <w:rsid w:val="68D749B4"/>
    <w:rsid w:val="68DC66D6"/>
    <w:rsid w:val="68EA538A"/>
    <w:rsid w:val="69193F3F"/>
    <w:rsid w:val="6937367C"/>
    <w:rsid w:val="693D1D24"/>
    <w:rsid w:val="69502B5F"/>
    <w:rsid w:val="69697E39"/>
    <w:rsid w:val="69745FCF"/>
    <w:rsid w:val="69900CF4"/>
    <w:rsid w:val="69931944"/>
    <w:rsid w:val="699B0F75"/>
    <w:rsid w:val="69D15544"/>
    <w:rsid w:val="69E228CC"/>
    <w:rsid w:val="6A235D34"/>
    <w:rsid w:val="6A3519FD"/>
    <w:rsid w:val="6A562704"/>
    <w:rsid w:val="6A5B3350"/>
    <w:rsid w:val="6A7A48B2"/>
    <w:rsid w:val="6A9831A9"/>
    <w:rsid w:val="6A9F49FB"/>
    <w:rsid w:val="6AB020DA"/>
    <w:rsid w:val="6AC87D14"/>
    <w:rsid w:val="6AEB08BF"/>
    <w:rsid w:val="6AF23690"/>
    <w:rsid w:val="6B011D0D"/>
    <w:rsid w:val="6B0845B4"/>
    <w:rsid w:val="6B20545A"/>
    <w:rsid w:val="6B235D0F"/>
    <w:rsid w:val="6B360C1F"/>
    <w:rsid w:val="6B525585"/>
    <w:rsid w:val="6B7E3CAC"/>
    <w:rsid w:val="6B8E037B"/>
    <w:rsid w:val="6BBA42E3"/>
    <w:rsid w:val="6BBB10A2"/>
    <w:rsid w:val="6BBB2893"/>
    <w:rsid w:val="6BBF4B76"/>
    <w:rsid w:val="6BC60779"/>
    <w:rsid w:val="6BE126B9"/>
    <w:rsid w:val="6BF56974"/>
    <w:rsid w:val="6C164245"/>
    <w:rsid w:val="6C3E0B0F"/>
    <w:rsid w:val="6C502023"/>
    <w:rsid w:val="6C621AA2"/>
    <w:rsid w:val="6CB55262"/>
    <w:rsid w:val="6CC7034A"/>
    <w:rsid w:val="6CE36F9A"/>
    <w:rsid w:val="6CF52446"/>
    <w:rsid w:val="6D046826"/>
    <w:rsid w:val="6D23645F"/>
    <w:rsid w:val="6D25370B"/>
    <w:rsid w:val="6D400348"/>
    <w:rsid w:val="6D62591C"/>
    <w:rsid w:val="6D7E4A41"/>
    <w:rsid w:val="6D8222D1"/>
    <w:rsid w:val="6DA9525A"/>
    <w:rsid w:val="6DB127C2"/>
    <w:rsid w:val="6DE53A65"/>
    <w:rsid w:val="6DED0FDF"/>
    <w:rsid w:val="6E15081D"/>
    <w:rsid w:val="6E305E1F"/>
    <w:rsid w:val="6E843498"/>
    <w:rsid w:val="6E981F31"/>
    <w:rsid w:val="6EA4468F"/>
    <w:rsid w:val="6EA60D82"/>
    <w:rsid w:val="6EBE5298"/>
    <w:rsid w:val="6F1E4242"/>
    <w:rsid w:val="6F2019F6"/>
    <w:rsid w:val="6F27683C"/>
    <w:rsid w:val="6F3F7BF9"/>
    <w:rsid w:val="6F591F0F"/>
    <w:rsid w:val="6F5B6B4C"/>
    <w:rsid w:val="6F7E05BD"/>
    <w:rsid w:val="6F81239C"/>
    <w:rsid w:val="6F82450A"/>
    <w:rsid w:val="6FB60620"/>
    <w:rsid w:val="6FC50CC6"/>
    <w:rsid w:val="6FEC722E"/>
    <w:rsid w:val="6FEF23DD"/>
    <w:rsid w:val="6FF73F3B"/>
    <w:rsid w:val="704A48D5"/>
    <w:rsid w:val="707F5F84"/>
    <w:rsid w:val="70C81361"/>
    <w:rsid w:val="70FD243F"/>
    <w:rsid w:val="71315739"/>
    <w:rsid w:val="715C11B6"/>
    <w:rsid w:val="71822E6D"/>
    <w:rsid w:val="71A768D5"/>
    <w:rsid w:val="71C87686"/>
    <w:rsid w:val="71D61B57"/>
    <w:rsid w:val="71F44899"/>
    <w:rsid w:val="71F73730"/>
    <w:rsid w:val="72155939"/>
    <w:rsid w:val="721F1280"/>
    <w:rsid w:val="722D11E7"/>
    <w:rsid w:val="72592789"/>
    <w:rsid w:val="72682699"/>
    <w:rsid w:val="726A2A9D"/>
    <w:rsid w:val="72AB7CA6"/>
    <w:rsid w:val="72C05E41"/>
    <w:rsid w:val="72CD17D3"/>
    <w:rsid w:val="72E222EE"/>
    <w:rsid w:val="72EF6544"/>
    <w:rsid w:val="73320444"/>
    <w:rsid w:val="734873C4"/>
    <w:rsid w:val="735B683F"/>
    <w:rsid w:val="73632F59"/>
    <w:rsid w:val="73AF4CAD"/>
    <w:rsid w:val="73DD7FE2"/>
    <w:rsid w:val="742C1EDE"/>
    <w:rsid w:val="74574395"/>
    <w:rsid w:val="74644DD8"/>
    <w:rsid w:val="748072CD"/>
    <w:rsid w:val="74D97751"/>
    <w:rsid w:val="74EF2A0C"/>
    <w:rsid w:val="74F34081"/>
    <w:rsid w:val="750C4A81"/>
    <w:rsid w:val="75406EA0"/>
    <w:rsid w:val="75466B71"/>
    <w:rsid w:val="754F7E93"/>
    <w:rsid w:val="75754E7F"/>
    <w:rsid w:val="757D388D"/>
    <w:rsid w:val="75C43069"/>
    <w:rsid w:val="75D9330D"/>
    <w:rsid w:val="75ED3009"/>
    <w:rsid w:val="75F92A87"/>
    <w:rsid w:val="75FE098D"/>
    <w:rsid w:val="763C63B7"/>
    <w:rsid w:val="76430341"/>
    <w:rsid w:val="764D6E59"/>
    <w:rsid w:val="765227F9"/>
    <w:rsid w:val="76540C9C"/>
    <w:rsid w:val="767758DE"/>
    <w:rsid w:val="767E21F4"/>
    <w:rsid w:val="768A7AA7"/>
    <w:rsid w:val="76942F21"/>
    <w:rsid w:val="76961F30"/>
    <w:rsid w:val="76CA184F"/>
    <w:rsid w:val="7719556E"/>
    <w:rsid w:val="77514C8A"/>
    <w:rsid w:val="775650F8"/>
    <w:rsid w:val="777B7202"/>
    <w:rsid w:val="77816025"/>
    <w:rsid w:val="77AA3C05"/>
    <w:rsid w:val="77C55886"/>
    <w:rsid w:val="77FB3503"/>
    <w:rsid w:val="780948EE"/>
    <w:rsid w:val="78205627"/>
    <w:rsid w:val="78562224"/>
    <w:rsid w:val="78866E2C"/>
    <w:rsid w:val="789A72EE"/>
    <w:rsid w:val="78CD6E22"/>
    <w:rsid w:val="78E02F39"/>
    <w:rsid w:val="790F101B"/>
    <w:rsid w:val="791E1D65"/>
    <w:rsid w:val="7922710C"/>
    <w:rsid w:val="79480793"/>
    <w:rsid w:val="795C64D4"/>
    <w:rsid w:val="798749D7"/>
    <w:rsid w:val="798B1880"/>
    <w:rsid w:val="79A03947"/>
    <w:rsid w:val="79C97604"/>
    <w:rsid w:val="79DC6ABB"/>
    <w:rsid w:val="79FE4565"/>
    <w:rsid w:val="7A09547D"/>
    <w:rsid w:val="7A6150CC"/>
    <w:rsid w:val="7A8F6ECB"/>
    <w:rsid w:val="7AD418C9"/>
    <w:rsid w:val="7AE155BA"/>
    <w:rsid w:val="7B1171B8"/>
    <w:rsid w:val="7B466B4B"/>
    <w:rsid w:val="7B4C4D38"/>
    <w:rsid w:val="7B502EBA"/>
    <w:rsid w:val="7B574005"/>
    <w:rsid w:val="7B631ECB"/>
    <w:rsid w:val="7B874C11"/>
    <w:rsid w:val="7BB12882"/>
    <w:rsid w:val="7BB6451B"/>
    <w:rsid w:val="7BB75318"/>
    <w:rsid w:val="7BC533D4"/>
    <w:rsid w:val="7BC95A1A"/>
    <w:rsid w:val="7BFF017C"/>
    <w:rsid w:val="7C1B6E79"/>
    <w:rsid w:val="7C1D2FBD"/>
    <w:rsid w:val="7C5331B5"/>
    <w:rsid w:val="7CA07406"/>
    <w:rsid w:val="7CD87E3C"/>
    <w:rsid w:val="7CF77C64"/>
    <w:rsid w:val="7D010011"/>
    <w:rsid w:val="7D347113"/>
    <w:rsid w:val="7D4B1E19"/>
    <w:rsid w:val="7D5744FA"/>
    <w:rsid w:val="7DC75C09"/>
    <w:rsid w:val="7DDA291D"/>
    <w:rsid w:val="7DEF329E"/>
    <w:rsid w:val="7DFD5C6D"/>
    <w:rsid w:val="7E5259A0"/>
    <w:rsid w:val="7E562684"/>
    <w:rsid w:val="7E6416AA"/>
    <w:rsid w:val="7E6B6F38"/>
    <w:rsid w:val="7E705746"/>
    <w:rsid w:val="7E7A28AB"/>
    <w:rsid w:val="7E7C029B"/>
    <w:rsid w:val="7E862CCF"/>
    <w:rsid w:val="7E867381"/>
    <w:rsid w:val="7E904953"/>
    <w:rsid w:val="7E9F5A1B"/>
    <w:rsid w:val="7EDC6FBC"/>
    <w:rsid w:val="7EFD16EC"/>
    <w:rsid w:val="7F0505A2"/>
    <w:rsid w:val="7F1217C8"/>
    <w:rsid w:val="7F377D92"/>
    <w:rsid w:val="7F520231"/>
    <w:rsid w:val="7F5701CA"/>
    <w:rsid w:val="7F570616"/>
    <w:rsid w:val="7F5B1590"/>
    <w:rsid w:val="7F7952A8"/>
    <w:rsid w:val="7F7F035B"/>
    <w:rsid w:val="7FB6657C"/>
    <w:rsid w:val="7FCF0B40"/>
    <w:rsid w:val="7FF020AD"/>
    <w:rsid w:val="7FF935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styleId="2">
    <w:name w:val="heading 1"/>
    <w:basedOn w:val="1"/>
    <w:next w:val="1"/>
    <w:link w:val="75"/>
    <w:autoRedefine/>
    <w:qFormat/>
    <w:uiPriority w:val="9"/>
    <w:pPr>
      <w:keepNext/>
      <w:keepLines/>
      <w:spacing w:before="340" w:after="330" w:line="578" w:lineRule="atLeast"/>
      <w:outlineLvl w:val="0"/>
    </w:pPr>
    <w:rPr>
      <w:b/>
      <w:kern w:val="44"/>
      <w:sz w:val="44"/>
      <w:szCs w:val="44"/>
    </w:rPr>
  </w:style>
  <w:style w:type="paragraph" w:styleId="3">
    <w:name w:val="heading 2"/>
    <w:basedOn w:val="1"/>
    <w:next w:val="1"/>
    <w:link w:val="76"/>
    <w:autoRedefine/>
    <w:semiHidden/>
    <w:unhideWhenUsed/>
    <w:qFormat/>
    <w:uiPriority w:val="9"/>
    <w:pPr>
      <w:keepNext/>
      <w:keepLines/>
      <w:spacing w:before="260" w:after="260" w:line="416" w:lineRule="atLeast"/>
      <w:outlineLvl w:val="1"/>
    </w:pPr>
    <w:rPr>
      <w:rFonts w:ascii="Arial" w:hAnsi="Arial" w:eastAsia="黑体"/>
      <w:b/>
      <w:sz w:val="32"/>
      <w:szCs w:val="32"/>
    </w:rPr>
  </w:style>
  <w:style w:type="paragraph" w:styleId="4">
    <w:name w:val="heading 3"/>
    <w:basedOn w:val="1"/>
    <w:next w:val="1"/>
    <w:link w:val="74"/>
    <w:autoRedefine/>
    <w:semiHidden/>
    <w:unhideWhenUsed/>
    <w:qFormat/>
    <w:uiPriority w:val="9"/>
    <w:pPr>
      <w:keepNext/>
      <w:keepLines/>
      <w:spacing w:before="260" w:after="260" w:line="416" w:lineRule="atLeast"/>
      <w:outlineLvl w:val="2"/>
    </w:pPr>
    <w:rPr>
      <w:b/>
      <w:sz w:val="32"/>
      <w:szCs w:val="32"/>
    </w:rPr>
  </w:style>
  <w:style w:type="paragraph" w:styleId="5">
    <w:name w:val="heading 4"/>
    <w:basedOn w:val="1"/>
    <w:next w:val="1"/>
    <w:link w:val="77"/>
    <w:autoRedefine/>
    <w:semiHidden/>
    <w:unhideWhenUsed/>
    <w:qFormat/>
    <w:uiPriority w:val="9"/>
    <w:pPr>
      <w:keepNext/>
      <w:keepLines/>
      <w:spacing w:line="372" w:lineRule="auto"/>
      <w:outlineLvl w:val="3"/>
    </w:pPr>
    <w:rPr>
      <w:rFonts w:ascii="Arial" w:hAnsi="Arial" w:eastAsia="黑体"/>
      <w:b/>
      <w:sz w:val="28"/>
    </w:rPr>
  </w:style>
  <w:style w:type="paragraph" w:styleId="6">
    <w:name w:val="heading 5"/>
    <w:basedOn w:val="1"/>
    <w:next w:val="1"/>
    <w:link w:val="61"/>
    <w:autoRedefine/>
    <w:qFormat/>
    <w:uiPriority w:val="0"/>
    <w:pPr>
      <w:keepNext/>
      <w:keepLines/>
      <w:spacing w:before="280" w:after="290" w:line="376" w:lineRule="atLeast"/>
      <w:outlineLvl w:val="4"/>
    </w:pPr>
    <w:rPr>
      <w:b/>
      <w:bCs/>
      <w:sz w:val="28"/>
      <w:szCs w:val="28"/>
    </w:rPr>
  </w:style>
  <w:style w:type="paragraph" w:styleId="7">
    <w:name w:val="heading 6"/>
    <w:basedOn w:val="1"/>
    <w:next w:val="1"/>
    <w:link w:val="78"/>
    <w:autoRedefine/>
    <w:semiHidden/>
    <w:unhideWhenUsed/>
    <w:qFormat/>
    <w:uiPriority w:val="9"/>
    <w:pPr>
      <w:keepNext/>
      <w:keepLines/>
      <w:spacing w:line="317" w:lineRule="auto"/>
      <w:outlineLvl w:val="5"/>
    </w:pPr>
    <w:rPr>
      <w:rFonts w:ascii="Arial" w:hAnsi="Arial" w:eastAsia="黑体"/>
      <w:b/>
      <w:sz w:val="24"/>
    </w:rPr>
  </w:style>
  <w:style w:type="paragraph" w:styleId="8">
    <w:name w:val="heading 7"/>
    <w:basedOn w:val="1"/>
    <w:next w:val="1"/>
    <w:link w:val="80"/>
    <w:autoRedefine/>
    <w:semiHidden/>
    <w:unhideWhenUsed/>
    <w:qFormat/>
    <w:uiPriority w:val="9"/>
    <w:pPr>
      <w:keepNext/>
      <w:keepLines/>
      <w:spacing w:line="317" w:lineRule="auto"/>
      <w:outlineLvl w:val="6"/>
    </w:pPr>
    <w:rPr>
      <w:b/>
      <w:sz w:val="24"/>
    </w:rPr>
  </w:style>
  <w:style w:type="paragraph" w:styleId="9">
    <w:name w:val="heading 8"/>
    <w:basedOn w:val="1"/>
    <w:next w:val="1"/>
    <w:link w:val="81"/>
    <w:autoRedefine/>
    <w:semiHidden/>
    <w:unhideWhenUsed/>
    <w:qFormat/>
    <w:uiPriority w:val="9"/>
    <w:pPr>
      <w:keepNext/>
      <w:keepLines/>
      <w:spacing w:line="317" w:lineRule="auto"/>
      <w:outlineLvl w:val="7"/>
    </w:pPr>
    <w:rPr>
      <w:rFonts w:ascii="Arial" w:hAnsi="Arial" w:eastAsia="黑体"/>
      <w:sz w:val="24"/>
    </w:rPr>
  </w:style>
  <w:style w:type="paragraph" w:styleId="10">
    <w:name w:val="heading 9"/>
    <w:basedOn w:val="1"/>
    <w:next w:val="1"/>
    <w:link w:val="82"/>
    <w:autoRedefine/>
    <w:semiHidden/>
    <w:unhideWhenUsed/>
    <w:qFormat/>
    <w:uiPriority w:val="9"/>
    <w:pPr>
      <w:keepNext/>
      <w:keepLines/>
      <w:spacing w:line="317" w:lineRule="auto"/>
      <w:outlineLvl w:val="8"/>
    </w:pPr>
    <w:rPr>
      <w:rFonts w:ascii="Arial" w:hAnsi="Arial" w:eastAsia="黑体"/>
      <w:sz w:val="21"/>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autoRedefine/>
    <w:qFormat/>
    <w:uiPriority w:val="0"/>
    <w:pPr>
      <w:ind w:firstLine="420"/>
    </w:pPr>
    <w:rPr>
      <w:kern w:val="2"/>
      <w:sz w:val="21"/>
    </w:rPr>
  </w:style>
  <w:style w:type="paragraph" w:styleId="12">
    <w:name w:val="annotation text"/>
    <w:basedOn w:val="1"/>
    <w:link w:val="109"/>
    <w:autoRedefine/>
    <w:semiHidden/>
    <w:unhideWhenUsed/>
    <w:qFormat/>
    <w:uiPriority w:val="99"/>
    <w:pPr>
      <w:jc w:val="left"/>
    </w:pPr>
  </w:style>
  <w:style w:type="paragraph" w:styleId="13">
    <w:name w:val="Body Text"/>
    <w:basedOn w:val="1"/>
    <w:link w:val="57"/>
    <w:autoRedefine/>
    <w:semiHidden/>
    <w:unhideWhenUsed/>
    <w:qFormat/>
    <w:uiPriority w:val="99"/>
    <w:pPr>
      <w:spacing w:after="120"/>
    </w:pPr>
  </w:style>
  <w:style w:type="paragraph" w:styleId="14">
    <w:name w:val="Body Text Indent"/>
    <w:basedOn w:val="1"/>
    <w:next w:val="15"/>
    <w:link w:val="119"/>
    <w:autoRedefine/>
    <w:semiHidden/>
    <w:unhideWhenUsed/>
    <w:qFormat/>
    <w:uiPriority w:val="99"/>
    <w:pPr>
      <w:ind w:left="420" w:leftChars="200"/>
    </w:pPr>
  </w:style>
  <w:style w:type="paragraph" w:styleId="15">
    <w:name w:val="envelope return"/>
    <w:basedOn w:val="1"/>
    <w:autoRedefine/>
    <w:qFormat/>
    <w:uiPriority w:val="0"/>
    <w:pPr>
      <w:snapToGrid w:val="0"/>
    </w:pPr>
    <w:rPr>
      <w:rFonts w:ascii="Arial" w:hAnsi="Arial" w:cs="Arial"/>
    </w:rPr>
  </w:style>
  <w:style w:type="paragraph" w:styleId="16">
    <w:name w:val="List 2"/>
    <w:basedOn w:val="1"/>
    <w:autoRedefine/>
    <w:qFormat/>
    <w:uiPriority w:val="0"/>
    <w:pPr>
      <w:ind w:left="100" w:leftChars="200" w:hanging="200" w:hangingChars="200"/>
    </w:pPr>
  </w:style>
  <w:style w:type="paragraph" w:styleId="17">
    <w:name w:val="List Continue"/>
    <w:basedOn w:val="1"/>
    <w:autoRedefine/>
    <w:qFormat/>
    <w:uiPriority w:val="0"/>
    <w:pPr>
      <w:spacing w:after="120"/>
      <w:ind w:left="420" w:leftChars="200"/>
    </w:pPr>
  </w:style>
  <w:style w:type="paragraph" w:styleId="18">
    <w:name w:val="toc 5"/>
    <w:basedOn w:val="1"/>
    <w:next w:val="1"/>
    <w:autoRedefine/>
    <w:qFormat/>
    <w:uiPriority w:val="0"/>
    <w:pPr>
      <w:tabs>
        <w:tab w:val="right" w:leader="dot" w:pos="8296"/>
      </w:tabs>
      <w:ind w:left="1050" w:leftChars="500"/>
    </w:pPr>
  </w:style>
  <w:style w:type="paragraph" w:styleId="19">
    <w:name w:val="toc 3"/>
    <w:basedOn w:val="1"/>
    <w:next w:val="1"/>
    <w:autoRedefine/>
    <w:qFormat/>
    <w:uiPriority w:val="0"/>
    <w:pPr>
      <w:ind w:left="840" w:leftChars="400"/>
    </w:pPr>
  </w:style>
  <w:style w:type="paragraph" w:styleId="20">
    <w:name w:val="Plain Text"/>
    <w:basedOn w:val="1"/>
    <w:link w:val="64"/>
    <w:autoRedefine/>
    <w:qFormat/>
    <w:uiPriority w:val="0"/>
    <w:rPr>
      <w:rFonts w:ascii="宋体" w:hAnsi="Courier New" w:cstheme="minorBidi"/>
      <w:kern w:val="2"/>
      <w:sz w:val="21"/>
      <w:szCs w:val="22"/>
    </w:rPr>
  </w:style>
  <w:style w:type="paragraph" w:styleId="21">
    <w:name w:val="Date"/>
    <w:basedOn w:val="1"/>
    <w:next w:val="1"/>
    <w:link w:val="121"/>
    <w:autoRedefine/>
    <w:semiHidden/>
    <w:unhideWhenUsed/>
    <w:qFormat/>
    <w:uiPriority w:val="99"/>
    <w:pPr>
      <w:ind w:left="100" w:leftChars="2500"/>
    </w:pPr>
  </w:style>
  <w:style w:type="paragraph" w:styleId="22">
    <w:name w:val="Body Text Indent 2"/>
    <w:basedOn w:val="1"/>
    <w:link w:val="122"/>
    <w:autoRedefine/>
    <w:semiHidden/>
    <w:unhideWhenUsed/>
    <w:qFormat/>
    <w:uiPriority w:val="99"/>
    <w:pPr>
      <w:spacing w:line="480" w:lineRule="auto"/>
      <w:ind w:left="420" w:leftChars="200"/>
    </w:pPr>
  </w:style>
  <w:style w:type="paragraph" w:styleId="23">
    <w:name w:val="Balloon Text"/>
    <w:basedOn w:val="1"/>
    <w:link w:val="123"/>
    <w:autoRedefine/>
    <w:semiHidden/>
    <w:unhideWhenUsed/>
    <w:qFormat/>
    <w:uiPriority w:val="99"/>
    <w:rPr>
      <w:sz w:val="18"/>
    </w:rPr>
  </w:style>
  <w:style w:type="paragraph" w:styleId="24">
    <w:name w:val="footer"/>
    <w:basedOn w:val="1"/>
    <w:link w:val="60"/>
    <w:autoRedefine/>
    <w:unhideWhenUsed/>
    <w:qFormat/>
    <w:uiPriority w:val="0"/>
    <w:pPr>
      <w:tabs>
        <w:tab w:val="center" w:pos="4153"/>
        <w:tab w:val="right" w:pos="8306"/>
      </w:tabs>
      <w:snapToGrid w:val="0"/>
      <w:spacing w:line="240" w:lineRule="atLeast"/>
      <w:jc w:val="left"/>
    </w:pPr>
    <w:rPr>
      <w:sz w:val="18"/>
      <w:szCs w:val="18"/>
    </w:rPr>
  </w:style>
  <w:style w:type="paragraph" w:styleId="25">
    <w:name w:val="header"/>
    <w:basedOn w:val="1"/>
    <w:link w:val="59"/>
    <w:autoRedefine/>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26">
    <w:name w:val="toc 1"/>
    <w:basedOn w:val="1"/>
    <w:next w:val="1"/>
    <w:autoRedefine/>
    <w:semiHidden/>
    <w:qFormat/>
    <w:uiPriority w:val="0"/>
    <w:pPr>
      <w:spacing w:line="360" w:lineRule="auto"/>
    </w:pPr>
    <w:rPr>
      <w:b/>
      <w:sz w:val="21"/>
    </w:rPr>
  </w:style>
  <w:style w:type="paragraph" w:styleId="27">
    <w:name w:val="toc 4"/>
    <w:basedOn w:val="1"/>
    <w:next w:val="1"/>
    <w:autoRedefine/>
    <w:qFormat/>
    <w:uiPriority w:val="0"/>
    <w:pPr>
      <w:tabs>
        <w:tab w:val="left" w:pos="1890"/>
        <w:tab w:val="right" w:leader="dot" w:pos="8296"/>
      </w:tabs>
      <w:ind w:left="630" w:leftChars="300"/>
    </w:pPr>
  </w:style>
  <w:style w:type="paragraph" w:styleId="28">
    <w:name w:val="footnote text"/>
    <w:basedOn w:val="1"/>
    <w:link w:val="125"/>
    <w:autoRedefine/>
    <w:semiHidden/>
    <w:unhideWhenUsed/>
    <w:qFormat/>
    <w:uiPriority w:val="99"/>
    <w:pPr>
      <w:snapToGrid w:val="0"/>
      <w:jc w:val="left"/>
    </w:pPr>
    <w:rPr>
      <w:sz w:val="18"/>
    </w:rPr>
  </w:style>
  <w:style w:type="paragraph" w:styleId="29">
    <w:name w:val="Body Text Indent 3"/>
    <w:basedOn w:val="1"/>
    <w:link w:val="79"/>
    <w:autoRedefine/>
    <w:semiHidden/>
    <w:unhideWhenUsed/>
    <w:qFormat/>
    <w:uiPriority w:val="99"/>
    <w:pPr>
      <w:ind w:left="420" w:leftChars="200"/>
    </w:pPr>
    <w:rPr>
      <w:sz w:val="16"/>
    </w:rPr>
  </w:style>
  <w:style w:type="paragraph" w:styleId="30">
    <w:name w:val="Body Text 2"/>
    <w:basedOn w:val="1"/>
    <w:link w:val="124"/>
    <w:autoRedefine/>
    <w:semiHidden/>
    <w:unhideWhenUsed/>
    <w:qFormat/>
    <w:uiPriority w:val="99"/>
    <w:pPr>
      <w:spacing w:line="480" w:lineRule="auto"/>
    </w:pPr>
  </w:style>
  <w:style w:type="paragraph" w:styleId="31">
    <w:name w:val="Normal (Web)"/>
    <w:basedOn w:val="1"/>
    <w:autoRedefine/>
    <w:semiHidden/>
    <w:unhideWhenUsed/>
    <w:qFormat/>
    <w:uiPriority w:val="99"/>
    <w:pPr>
      <w:spacing w:beforeAutospacing="1" w:afterAutospacing="1"/>
      <w:jc w:val="left"/>
    </w:pPr>
    <w:rPr>
      <w:sz w:val="24"/>
    </w:rPr>
  </w:style>
  <w:style w:type="paragraph" w:styleId="32">
    <w:name w:val="Title"/>
    <w:basedOn w:val="1"/>
    <w:next w:val="33"/>
    <w:qFormat/>
    <w:uiPriority w:val="0"/>
    <w:pPr>
      <w:keepLines w:val="0"/>
      <w:ind w:firstLine="0" w:firstLineChars="0"/>
      <w:jc w:val="left"/>
    </w:pPr>
    <w:rPr>
      <w:rFonts w:ascii="Calibri" w:hAnsi="Calibri" w:eastAsia="宋体"/>
      <w:spacing w:val="0"/>
      <w:kern w:val="2"/>
      <w:szCs w:val="32"/>
    </w:rPr>
  </w:style>
  <w:style w:type="paragraph" w:customStyle="1" w:styleId="33">
    <w:name w:val="报告正文"/>
    <w:basedOn w:val="1"/>
    <w:qFormat/>
    <w:uiPriority w:val="0"/>
    <w:pPr>
      <w:spacing w:line="500" w:lineRule="exact"/>
    </w:pPr>
    <w:rPr>
      <w:sz w:val="28"/>
    </w:rPr>
  </w:style>
  <w:style w:type="paragraph" w:styleId="34">
    <w:name w:val="Body Text First Indent"/>
    <w:basedOn w:val="13"/>
    <w:link w:val="58"/>
    <w:autoRedefine/>
    <w:unhideWhenUsed/>
    <w:qFormat/>
    <w:uiPriority w:val="99"/>
    <w:pPr>
      <w:ind w:firstLine="420" w:firstLineChars="100"/>
    </w:pPr>
  </w:style>
  <w:style w:type="paragraph" w:styleId="35">
    <w:name w:val="Body Text First Indent 2"/>
    <w:basedOn w:val="14"/>
    <w:next w:val="1"/>
    <w:autoRedefine/>
    <w:qFormat/>
    <w:uiPriority w:val="0"/>
    <w:pPr>
      <w:ind w:firstLine="420" w:firstLineChars="200"/>
    </w:pPr>
  </w:style>
  <w:style w:type="table" w:styleId="37">
    <w:name w:val="Table Grid"/>
    <w:basedOn w:val="36"/>
    <w:autoRedefine/>
    <w:qFormat/>
    <w:uiPriority w:val="59"/>
    <w:pPr>
      <w:widowControl w:val="0"/>
      <w:adjustRightInd w:val="0"/>
      <w:spacing w:after="200" w:line="360" w:lineRule="atLeast"/>
      <w:jc w:val="both"/>
    </w:pPr>
    <w:rPr>
      <w:rFonts w:ascii="Calibri" w:hAnsi="Calibri" w:cs="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9">
    <w:name w:val="Strong"/>
    <w:autoRedefine/>
    <w:qFormat/>
    <w:uiPriority w:val="0"/>
    <w:rPr>
      <w:rFonts w:cs="Times New Roman"/>
      <w:b/>
      <w:bCs/>
    </w:rPr>
  </w:style>
  <w:style w:type="character" w:styleId="40">
    <w:name w:val="page number"/>
    <w:autoRedefine/>
    <w:qFormat/>
    <w:uiPriority w:val="0"/>
    <w:rPr>
      <w:rFonts w:eastAsia="宋体"/>
      <w:lang w:val="en-US" w:eastAsia="zh-CN" w:bidi="ar-SA"/>
    </w:rPr>
  </w:style>
  <w:style w:type="character" w:styleId="41">
    <w:name w:val="FollowedHyperlink"/>
    <w:basedOn w:val="38"/>
    <w:autoRedefine/>
    <w:semiHidden/>
    <w:unhideWhenUsed/>
    <w:qFormat/>
    <w:uiPriority w:val="99"/>
    <w:rPr>
      <w:rFonts w:hint="eastAsia" w:ascii="宋体" w:hAnsi="宋体" w:eastAsia="宋体" w:cs="宋体"/>
      <w:color w:val="800080"/>
      <w:u w:val="single"/>
      <w:lang w:val="en-US" w:eastAsia="zh-CN"/>
    </w:rPr>
  </w:style>
  <w:style w:type="character" w:styleId="42">
    <w:name w:val="Emphasis"/>
    <w:basedOn w:val="38"/>
    <w:autoRedefine/>
    <w:qFormat/>
    <w:uiPriority w:val="20"/>
  </w:style>
  <w:style w:type="character" w:styleId="43">
    <w:name w:val="HTML Definition"/>
    <w:basedOn w:val="38"/>
    <w:autoRedefine/>
    <w:semiHidden/>
    <w:unhideWhenUsed/>
    <w:qFormat/>
    <w:uiPriority w:val="99"/>
  </w:style>
  <w:style w:type="character" w:styleId="44">
    <w:name w:val="HTML Variable"/>
    <w:basedOn w:val="38"/>
    <w:autoRedefine/>
    <w:semiHidden/>
    <w:unhideWhenUsed/>
    <w:qFormat/>
    <w:uiPriority w:val="99"/>
  </w:style>
  <w:style w:type="character" w:styleId="45">
    <w:name w:val="Hyperlink"/>
    <w:basedOn w:val="38"/>
    <w:autoRedefine/>
    <w:semiHidden/>
    <w:unhideWhenUsed/>
    <w:qFormat/>
    <w:uiPriority w:val="99"/>
    <w:rPr>
      <w:rFonts w:hint="eastAsia" w:ascii="宋体" w:hAnsi="宋体" w:eastAsia="宋体" w:cs="宋体"/>
      <w:color w:val="0000FF"/>
      <w:u w:val="single"/>
      <w:lang w:val="en-US" w:eastAsia="zh-CN"/>
    </w:rPr>
  </w:style>
  <w:style w:type="character" w:styleId="46">
    <w:name w:val="HTML Code"/>
    <w:basedOn w:val="38"/>
    <w:autoRedefine/>
    <w:semiHidden/>
    <w:unhideWhenUsed/>
    <w:qFormat/>
    <w:uiPriority w:val="99"/>
    <w:rPr>
      <w:rFonts w:hint="eastAsia" w:ascii="微软雅黑" w:hAnsi="微软雅黑" w:eastAsia="微软雅黑" w:cs="微软雅黑"/>
      <w:sz w:val="18"/>
      <w:szCs w:val="18"/>
    </w:rPr>
  </w:style>
  <w:style w:type="character" w:styleId="47">
    <w:name w:val="annotation reference"/>
    <w:qFormat/>
    <w:uiPriority w:val="0"/>
    <w:rPr>
      <w:sz w:val="21"/>
    </w:rPr>
  </w:style>
  <w:style w:type="character" w:styleId="48">
    <w:name w:val="HTML Cite"/>
    <w:basedOn w:val="38"/>
    <w:autoRedefine/>
    <w:semiHidden/>
    <w:unhideWhenUsed/>
    <w:qFormat/>
    <w:uiPriority w:val="99"/>
  </w:style>
  <w:style w:type="character" w:styleId="49">
    <w:name w:val="footnote reference"/>
    <w:basedOn w:val="38"/>
    <w:autoRedefine/>
    <w:semiHidden/>
    <w:unhideWhenUsed/>
    <w:qFormat/>
    <w:uiPriority w:val="99"/>
    <w:rPr>
      <w:vertAlign w:val="superscript"/>
    </w:rPr>
  </w:style>
  <w:style w:type="paragraph" w:customStyle="1" w:styleId="50">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51">
    <w:name w:val="样式 ！正文 + 首行缩进:  2 字符"/>
    <w:basedOn w:val="1"/>
    <w:autoRedefine/>
    <w:qFormat/>
    <w:uiPriority w:val="0"/>
    <w:pPr>
      <w:ind w:firstLine="480" w:firstLineChars="200"/>
    </w:pPr>
    <w:rPr>
      <w:rFonts w:hint="eastAsia" w:ascii="Arial" w:hAnsi="Arial" w:cs="宋体"/>
    </w:rPr>
  </w:style>
  <w:style w:type="paragraph" w:customStyle="1" w:styleId="52">
    <w:name w:val="BodyText1I2"/>
    <w:basedOn w:val="53"/>
    <w:autoRedefine/>
    <w:qFormat/>
    <w:uiPriority w:val="99"/>
    <w:pPr>
      <w:ind w:firstLine="420" w:firstLineChars="200"/>
    </w:pPr>
  </w:style>
  <w:style w:type="paragraph" w:customStyle="1" w:styleId="53">
    <w:name w:val="BodyTextIndent"/>
    <w:basedOn w:val="1"/>
    <w:next w:val="54"/>
    <w:autoRedefine/>
    <w:qFormat/>
    <w:uiPriority w:val="99"/>
    <w:pPr>
      <w:spacing w:after="120"/>
      <w:ind w:left="420" w:leftChars="200"/>
    </w:pPr>
  </w:style>
  <w:style w:type="paragraph" w:customStyle="1" w:styleId="54">
    <w:name w:val="EnvelopeReturn"/>
    <w:basedOn w:val="1"/>
    <w:autoRedefine/>
    <w:qFormat/>
    <w:uiPriority w:val="99"/>
    <w:pPr>
      <w:snapToGrid w:val="0"/>
    </w:pPr>
    <w:rPr>
      <w:rFonts w:ascii="Arial" w:hAnsi="Arial" w:cs="Arial"/>
    </w:rPr>
  </w:style>
  <w:style w:type="paragraph" w:customStyle="1" w:styleId="55">
    <w:name w:val="p0"/>
    <w:basedOn w:val="1"/>
    <w:autoRedefine/>
    <w:qFormat/>
    <w:uiPriority w:val="0"/>
    <w:pPr>
      <w:widowControl/>
      <w:adjustRightInd/>
      <w:spacing w:line="240" w:lineRule="auto"/>
      <w:textAlignment w:val="auto"/>
    </w:pPr>
    <w:rPr>
      <w:sz w:val="21"/>
      <w:szCs w:val="21"/>
    </w:rPr>
  </w:style>
  <w:style w:type="paragraph" w:customStyle="1" w:styleId="56">
    <w:name w:val="WPSOffice手动目录 1"/>
    <w:autoRedefine/>
    <w:qFormat/>
    <w:uiPriority w:val="0"/>
    <w:rPr>
      <w:rFonts w:ascii="Times New Roman" w:hAnsi="Times New Roman" w:eastAsia="宋体" w:cs="Times New Roman"/>
      <w:lang w:val="en-US" w:eastAsia="zh-CN" w:bidi="ar-SA"/>
    </w:rPr>
  </w:style>
  <w:style w:type="character" w:customStyle="1" w:styleId="57">
    <w:name w:val="正文文本 Char"/>
    <w:basedOn w:val="38"/>
    <w:link w:val="13"/>
    <w:autoRedefine/>
    <w:semiHidden/>
    <w:qFormat/>
    <w:uiPriority w:val="99"/>
    <w:rPr>
      <w:rFonts w:ascii="Times New Roman" w:hAnsi="Times New Roman" w:eastAsia="宋体" w:cs="Times New Roman"/>
      <w:kern w:val="0"/>
      <w:sz w:val="20"/>
      <w:szCs w:val="20"/>
    </w:rPr>
  </w:style>
  <w:style w:type="character" w:customStyle="1" w:styleId="58">
    <w:name w:val="正文首行缩进 Char"/>
    <w:basedOn w:val="57"/>
    <w:link w:val="34"/>
    <w:autoRedefine/>
    <w:qFormat/>
    <w:uiPriority w:val="99"/>
    <w:rPr>
      <w:rFonts w:ascii="Times New Roman" w:hAnsi="Times New Roman" w:eastAsia="宋体" w:cs="Times New Roman"/>
      <w:kern w:val="0"/>
      <w:sz w:val="20"/>
      <w:szCs w:val="20"/>
    </w:rPr>
  </w:style>
  <w:style w:type="character" w:customStyle="1" w:styleId="59">
    <w:name w:val="页眉 Char"/>
    <w:basedOn w:val="38"/>
    <w:link w:val="25"/>
    <w:autoRedefine/>
    <w:qFormat/>
    <w:uiPriority w:val="0"/>
    <w:rPr>
      <w:rFonts w:ascii="Times New Roman" w:hAnsi="Times New Roman" w:eastAsia="宋体" w:cs="Times New Roman"/>
      <w:kern w:val="0"/>
      <w:sz w:val="18"/>
      <w:szCs w:val="18"/>
    </w:rPr>
  </w:style>
  <w:style w:type="character" w:customStyle="1" w:styleId="60">
    <w:name w:val="页脚 Char"/>
    <w:basedOn w:val="38"/>
    <w:link w:val="24"/>
    <w:autoRedefine/>
    <w:qFormat/>
    <w:uiPriority w:val="99"/>
    <w:rPr>
      <w:rFonts w:ascii="Times New Roman" w:hAnsi="Times New Roman" w:eastAsia="宋体" w:cs="Times New Roman"/>
      <w:kern w:val="0"/>
      <w:sz w:val="18"/>
      <w:szCs w:val="18"/>
    </w:rPr>
  </w:style>
  <w:style w:type="character" w:customStyle="1" w:styleId="61">
    <w:name w:val="标题 5 Char"/>
    <w:basedOn w:val="38"/>
    <w:link w:val="6"/>
    <w:autoRedefine/>
    <w:qFormat/>
    <w:uiPriority w:val="0"/>
    <w:rPr>
      <w:rFonts w:ascii="Times New Roman" w:hAnsi="Times New Roman" w:eastAsia="宋体" w:cs="Times New Roman"/>
      <w:b/>
      <w:bCs/>
      <w:kern w:val="0"/>
      <w:sz w:val="28"/>
      <w:szCs w:val="28"/>
    </w:rPr>
  </w:style>
  <w:style w:type="character" w:customStyle="1" w:styleId="62">
    <w:name w:val="Plain Text Char1"/>
    <w:link w:val="63"/>
    <w:autoRedefine/>
    <w:qFormat/>
    <w:uiPriority w:val="0"/>
    <w:rPr>
      <w:rFonts w:ascii="宋体" w:hAnsi="Courier New" w:eastAsia="宋体"/>
      <w:szCs w:val="21"/>
    </w:rPr>
  </w:style>
  <w:style w:type="paragraph" w:customStyle="1" w:styleId="63">
    <w:name w:val="纯文本1"/>
    <w:basedOn w:val="1"/>
    <w:link w:val="62"/>
    <w:autoRedefine/>
    <w:qFormat/>
    <w:uiPriority w:val="0"/>
    <w:pPr>
      <w:adjustRightInd/>
      <w:spacing w:line="240" w:lineRule="auto"/>
      <w:textAlignment w:val="auto"/>
    </w:pPr>
    <w:rPr>
      <w:rFonts w:ascii="宋体" w:hAnsi="Courier New" w:cstheme="minorBidi"/>
      <w:kern w:val="2"/>
      <w:sz w:val="21"/>
      <w:szCs w:val="21"/>
    </w:rPr>
  </w:style>
  <w:style w:type="character" w:customStyle="1" w:styleId="64">
    <w:name w:val="纯文本 Char1"/>
    <w:link w:val="20"/>
    <w:autoRedefine/>
    <w:qFormat/>
    <w:uiPriority w:val="0"/>
    <w:rPr>
      <w:rFonts w:ascii="宋体" w:hAnsi="Courier New" w:eastAsia="宋体"/>
    </w:rPr>
  </w:style>
  <w:style w:type="character" w:customStyle="1" w:styleId="65">
    <w:name w:val="纯文本 Char"/>
    <w:basedOn w:val="38"/>
    <w:autoRedefine/>
    <w:semiHidden/>
    <w:qFormat/>
    <w:uiPriority w:val="99"/>
    <w:rPr>
      <w:rFonts w:ascii="宋体" w:hAnsi="Courier New" w:eastAsia="宋体" w:cs="Courier New"/>
      <w:kern w:val="0"/>
      <w:szCs w:val="21"/>
    </w:rPr>
  </w:style>
  <w:style w:type="paragraph" w:customStyle="1" w:styleId="66">
    <w:name w:val="普通 (Web)"/>
    <w:basedOn w:val="1"/>
    <w:autoRedefine/>
    <w:qFormat/>
    <w:uiPriority w:val="0"/>
    <w:pPr>
      <w:widowControl/>
      <w:adjustRightInd/>
      <w:spacing w:before="100" w:beforeAutospacing="1" w:after="100" w:afterAutospacing="1" w:line="240" w:lineRule="auto"/>
      <w:jc w:val="left"/>
      <w:textAlignment w:val="auto"/>
    </w:pPr>
    <w:rPr>
      <w:rFonts w:ascii="宋体" w:hAnsi="宋体"/>
      <w:sz w:val="24"/>
      <w:szCs w:val="24"/>
    </w:rPr>
  </w:style>
  <w:style w:type="character" w:customStyle="1" w:styleId="67">
    <w:name w:val="lab_xmbh_yd2"/>
    <w:basedOn w:val="38"/>
    <w:autoRedefine/>
    <w:qFormat/>
    <w:uiPriority w:val="0"/>
  </w:style>
  <w:style w:type="paragraph" w:customStyle="1" w:styleId="68">
    <w:name w:val="列表 21"/>
    <w:basedOn w:val="1"/>
    <w:autoRedefine/>
    <w:qFormat/>
    <w:uiPriority w:val="0"/>
    <w:pPr>
      <w:adjustRightInd/>
      <w:spacing w:line="240" w:lineRule="auto"/>
      <w:ind w:left="100" w:leftChars="200" w:hanging="200" w:hangingChars="200"/>
    </w:pPr>
    <w:rPr>
      <w:kern w:val="2"/>
      <w:sz w:val="21"/>
      <w:szCs w:val="24"/>
    </w:rPr>
  </w:style>
  <w:style w:type="character" w:customStyle="1" w:styleId="69">
    <w:name w:val="lab_xmmc_yd1"/>
    <w:basedOn w:val="38"/>
    <w:autoRedefine/>
    <w:qFormat/>
    <w:uiPriority w:val="0"/>
  </w:style>
  <w:style w:type="character" w:customStyle="1" w:styleId="70">
    <w:name w:val="lab_wf3"/>
    <w:basedOn w:val="38"/>
    <w:autoRedefine/>
    <w:qFormat/>
    <w:uiPriority w:val="0"/>
    <w:rPr>
      <w:color w:val="FF0000"/>
    </w:rPr>
  </w:style>
  <w:style w:type="character" w:customStyle="1" w:styleId="71">
    <w:name w:val="lab_xmmc"/>
    <w:basedOn w:val="38"/>
    <w:autoRedefine/>
    <w:qFormat/>
    <w:uiPriority w:val="0"/>
  </w:style>
  <w:style w:type="character" w:customStyle="1" w:styleId="72">
    <w:name w:val="lab_dlgs"/>
    <w:basedOn w:val="38"/>
    <w:autoRedefine/>
    <w:qFormat/>
    <w:uiPriority w:val="0"/>
  </w:style>
  <w:style w:type="character" w:customStyle="1" w:styleId="73">
    <w:name w:val="lab_zblb"/>
    <w:basedOn w:val="38"/>
    <w:autoRedefine/>
    <w:qFormat/>
    <w:uiPriority w:val="0"/>
  </w:style>
  <w:style w:type="character" w:customStyle="1" w:styleId="74">
    <w:name w:val="标题 3 Char"/>
    <w:basedOn w:val="38"/>
    <w:link w:val="4"/>
    <w:autoRedefine/>
    <w:qFormat/>
    <w:uiPriority w:val="0"/>
    <w:rPr>
      <w:b/>
      <w:sz w:val="32"/>
      <w:szCs w:val="32"/>
    </w:rPr>
  </w:style>
  <w:style w:type="character" w:customStyle="1" w:styleId="75">
    <w:name w:val="标题 1 Char"/>
    <w:basedOn w:val="38"/>
    <w:link w:val="2"/>
    <w:autoRedefine/>
    <w:qFormat/>
    <w:uiPriority w:val="0"/>
    <w:rPr>
      <w:b/>
      <w:kern w:val="44"/>
      <w:sz w:val="44"/>
      <w:szCs w:val="44"/>
    </w:rPr>
  </w:style>
  <w:style w:type="character" w:customStyle="1" w:styleId="76">
    <w:name w:val="标题 2 Char"/>
    <w:basedOn w:val="38"/>
    <w:link w:val="3"/>
    <w:autoRedefine/>
    <w:qFormat/>
    <w:uiPriority w:val="0"/>
    <w:rPr>
      <w:rFonts w:hint="default" w:ascii="Arial" w:hAnsi="Arial" w:eastAsia="黑体" w:cs="Arial"/>
      <w:b/>
      <w:sz w:val="32"/>
      <w:szCs w:val="32"/>
    </w:rPr>
  </w:style>
  <w:style w:type="character" w:customStyle="1" w:styleId="77">
    <w:name w:val="标题 4 Char"/>
    <w:basedOn w:val="38"/>
    <w:link w:val="5"/>
    <w:autoRedefine/>
    <w:qFormat/>
    <w:uiPriority w:val="0"/>
    <w:rPr>
      <w:rFonts w:hint="default" w:ascii="Arial" w:hAnsi="Arial" w:eastAsia="黑体" w:cs="Arial"/>
      <w:b/>
      <w:sz w:val="28"/>
      <w:szCs w:val="28"/>
    </w:rPr>
  </w:style>
  <w:style w:type="character" w:customStyle="1" w:styleId="78">
    <w:name w:val="标题 6 Char"/>
    <w:basedOn w:val="38"/>
    <w:link w:val="7"/>
    <w:autoRedefine/>
    <w:qFormat/>
    <w:uiPriority w:val="0"/>
    <w:rPr>
      <w:rFonts w:hint="default" w:ascii="Arial" w:hAnsi="Arial" w:eastAsia="黑体" w:cs="Arial"/>
      <w:b/>
      <w:sz w:val="24"/>
      <w:szCs w:val="24"/>
    </w:rPr>
  </w:style>
  <w:style w:type="character" w:customStyle="1" w:styleId="79">
    <w:name w:val="正文文本缩进 3 Char"/>
    <w:basedOn w:val="38"/>
    <w:link w:val="29"/>
    <w:autoRedefine/>
    <w:qFormat/>
    <w:uiPriority w:val="0"/>
    <w:rPr>
      <w:rFonts w:hint="eastAsia" w:ascii="仿宋_GB2312" w:eastAsia="仿宋_GB2312" w:cs="仿宋_GB2312"/>
      <w:sz w:val="28"/>
    </w:rPr>
  </w:style>
  <w:style w:type="character" w:customStyle="1" w:styleId="80">
    <w:name w:val="标题 7 Char"/>
    <w:basedOn w:val="38"/>
    <w:link w:val="8"/>
    <w:autoRedefine/>
    <w:qFormat/>
    <w:uiPriority w:val="0"/>
    <w:rPr>
      <w:b/>
      <w:sz w:val="24"/>
      <w:szCs w:val="24"/>
    </w:rPr>
  </w:style>
  <w:style w:type="character" w:customStyle="1" w:styleId="81">
    <w:name w:val="标题 8 Char"/>
    <w:basedOn w:val="38"/>
    <w:link w:val="9"/>
    <w:autoRedefine/>
    <w:qFormat/>
    <w:uiPriority w:val="0"/>
    <w:rPr>
      <w:rFonts w:hint="default" w:ascii="Arial" w:hAnsi="Arial" w:eastAsia="黑体" w:cs="Arial"/>
      <w:sz w:val="24"/>
      <w:szCs w:val="24"/>
    </w:rPr>
  </w:style>
  <w:style w:type="character" w:customStyle="1" w:styleId="82">
    <w:name w:val="标题 9 Char"/>
    <w:basedOn w:val="38"/>
    <w:link w:val="10"/>
    <w:autoRedefine/>
    <w:qFormat/>
    <w:uiPriority w:val="0"/>
    <w:rPr>
      <w:rFonts w:hint="default" w:ascii="Arial" w:hAnsi="Arial" w:eastAsia="黑体" w:cs="Arial"/>
      <w:sz w:val="21"/>
      <w:szCs w:val="21"/>
    </w:rPr>
  </w:style>
  <w:style w:type="character" w:customStyle="1" w:styleId="83">
    <w:name w:val="bds_nopic2"/>
    <w:basedOn w:val="38"/>
    <w:autoRedefine/>
    <w:qFormat/>
    <w:uiPriority w:val="0"/>
  </w:style>
  <w:style w:type="character" w:customStyle="1" w:styleId="84">
    <w:name w:val="lab_ssqx_yd9"/>
    <w:basedOn w:val="38"/>
    <w:autoRedefine/>
    <w:qFormat/>
    <w:uiPriority w:val="0"/>
  </w:style>
  <w:style w:type="character" w:customStyle="1" w:styleId="85">
    <w:name w:val="Para head"/>
    <w:basedOn w:val="38"/>
    <w:autoRedefine/>
    <w:qFormat/>
    <w:uiPriority w:val="0"/>
    <w:rPr>
      <w:rFonts w:hint="default" w:ascii="Arial" w:hAnsi="Arial" w:eastAsia="Times New Roman" w:cs="Arial"/>
      <w:sz w:val="20"/>
    </w:rPr>
  </w:style>
  <w:style w:type="character" w:customStyle="1" w:styleId="86">
    <w:name w:val="lab_wf6"/>
    <w:basedOn w:val="38"/>
    <w:autoRedefine/>
    <w:qFormat/>
    <w:uiPriority w:val="0"/>
  </w:style>
  <w:style w:type="character" w:customStyle="1" w:styleId="87">
    <w:name w:val="lab_wf2"/>
    <w:basedOn w:val="38"/>
    <w:autoRedefine/>
    <w:qFormat/>
    <w:uiPriority w:val="0"/>
  </w:style>
  <w:style w:type="character" w:customStyle="1" w:styleId="88">
    <w:name w:val="lab_ssqx"/>
    <w:basedOn w:val="38"/>
    <w:autoRedefine/>
    <w:qFormat/>
    <w:uiPriority w:val="0"/>
  </w:style>
  <w:style w:type="character" w:customStyle="1" w:styleId="89">
    <w:name w:val="Body Text Indent Char Char"/>
    <w:basedOn w:val="38"/>
    <w:link w:val="90"/>
    <w:autoRedefine/>
    <w:qFormat/>
    <w:uiPriority w:val="0"/>
    <w:rPr>
      <w:kern w:val="2"/>
      <w:sz w:val="21"/>
      <w:szCs w:val="24"/>
    </w:rPr>
  </w:style>
  <w:style w:type="paragraph" w:customStyle="1" w:styleId="90">
    <w:name w:val="正文文本缩进1"/>
    <w:basedOn w:val="1"/>
    <w:link w:val="89"/>
    <w:autoRedefine/>
    <w:qFormat/>
    <w:uiPriority w:val="0"/>
    <w:pPr>
      <w:adjustRightInd/>
      <w:spacing w:after="120" w:line="240" w:lineRule="auto"/>
      <w:ind w:left="420" w:leftChars="200"/>
    </w:pPr>
    <w:rPr>
      <w:kern w:val="2"/>
      <w:sz w:val="21"/>
      <w:szCs w:val="24"/>
    </w:rPr>
  </w:style>
  <w:style w:type="character" w:customStyle="1" w:styleId="91">
    <w:name w:val="bds_nopic1"/>
    <w:basedOn w:val="38"/>
    <w:autoRedefine/>
    <w:qFormat/>
    <w:uiPriority w:val="0"/>
  </w:style>
  <w:style w:type="character" w:customStyle="1" w:styleId="92">
    <w:name w:val="biaoti1"/>
    <w:basedOn w:val="38"/>
    <w:autoRedefine/>
    <w:qFormat/>
    <w:uiPriority w:val="0"/>
    <w:rPr>
      <w:rFonts w:hint="eastAsia" w:ascii="宋体" w:hAnsi="宋体" w:eastAsia="宋体" w:cs="宋体"/>
      <w:sz w:val="32"/>
      <w:szCs w:val="32"/>
      <w:u w:val="none"/>
    </w:rPr>
  </w:style>
  <w:style w:type="character" w:customStyle="1" w:styleId="93">
    <w:name w:val="lab_wf7"/>
    <w:basedOn w:val="38"/>
    <w:autoRedefine/>
    <w:qFormat/>
    <w:uiPriority w:val="0"/>
  </w:style>
  <w:style w:type="character" w:customStyle="1" w:styleId="94">
    <w:name w:val="bds_more2"/>
    <w:basedOn w:val="38"/>
    <w:autoRedefine/>
    <w:qFormat/>
    <w:uiPriority w:val="0"/>
  </w:style>
  <w:style w:type="character" w:customStyle="1" w:styleId="95">
    <w:name w:val="lab_ssqx_yd8"/>
    <w:basedOn w:val="38"/>
    <w:autoRedefine/>
    <w:qFormat/>
    <w:uiPriority w:val="0"/>
  </w:style>
  <w:style w:type="character" w:customStyle="1" w:styleId="96">
    <w:name w:val="sx"/>
    <w:basedOn w:val="38"/>
    <w:autoRedefine/>
    <w:qFormat/>
    <w:uiPriority w:val="0"/>
  </w:style>
  <w:style w:type="character" w:customStyle="1" w:styleId="97">
    <w:name w:val="bds_more1"/>
    <w:basedOn w:val="38"/>
    <w:autoRedefine/>
    <w:qFormat/>
    <w:uiPriority w:val="0"/>
  </w:style>
  <w:style w:type="character" w:customStyle="1" w:styleId="98">
    <w:name w:val="lab_sshy_yd7"/>
    <w:basedOn w:val="38"/>
    <w:autoRedefine/>
    <w:qFormat/>
    <w:uiPriority w:val="0"/>
  </w:style>
  <w:style w:type="character" w:customStyle="1" w:styleId="99">
    <w:name w:val="zb_zblb"/>
    <w:basedOn w:val="38"/>
    <w:autoRedefine/>
    <w:qFormat/>
    <w:uiPriority w:val="0"/>
  </w:style>
  <w:style w:type="character" w:customStyle="1" w:styleId="100">
    <w:name w:val="lab_xmbh"/>
    <w:basedOn w:val="38"/>
    <w:autoRedefine/>
    <w:qFormat/>
    <w:uiPriority w:val="0"/>
  </w:style>
  <w:style w:type="character" w:customStyle="1" w:styleId="101">
    <w:name w:val="Char Char Char"/>
    <w:basedOn w:val="38"/>
    <w:autoRedefine/>
    <w:qFormat/>
    <w:uiPriority w:val="0"/>
    <w:rPr>
      <w:rFonts w:hint="eastAsia" w:ascii="宋体" w:hAnsi="Courier New" w:eastAsia="宋体" w:cs="Courier New"/>
      <w:kern w:val="2"/>
      <w:sz w:val="21"/>
      <w:szCs w:val="21"/>
      <w:lang w:val="en-US" w:eastAsia="zh-CN"/>
    </w:rPr>
  </w:style>
  <w:style w:type="character" w:customStyle="1" w:styleId="102">
    <w:name w:val="lab_wf5"/>
    <w:basedOn w:val="38"/>
    <w:autoRedefine/>
    <w:qFormat/>
    <w:uiPriority w:val="0"/>
  </w:style>
  <w:style w:type="character" w:customStyle="1" w:styleId="103">
    <w:name w:val="unnamed11"/>
    <w:basedOn w:val="38"/>
    <w:autoRedefine/>
    <w:qFormat/>
    <w:uiPriority w:val="0"/>
    <w:rPr>
      <w:rFonts w:hint="eastAsia" w:ascii="宋体" w:hAnsi="宋体" w:eastAsia="宋体" w:cs="宋体"/>
      <w:sz w:val="21"/>
      <w:lang w:val="en-US" w:eastAsia="zh-CN"/>
    </w:rPr>
  </w:style>
  <w:style w:type="character" w:customStyle="1" w:styleId="104">
    <w:name w:val="lab_wf4"/>
    <w:basedOn w:val="38"/>
    <w:autoRedefine/>
    <w:qFormat/>
    <w:uiPriority w:val="0"/>
    <w:rPr>
      <w:color w:val="FF0000"/>
    </w:rPr>
  </w:style>
  <w:style w:type="character" w:customStyle="1" w:styleId="105">
    <w:name w:val="lab_zblb_yd6"/>
    <w:basedOn w:val="38"/>
    <w:autoRedefine/>
    <w:qFormat/>
    <w:uiPriority w:val="0"/>
  </w:style>
  <w:style w:type="character" w:customStyle="1" w:styleId="106">
    <w:name w:val="lab_wf1"/>
    <w:basedOn w:val="38"/>
    <w:autoRedefine/>
    <w:qFormat/>
    <w:uiPriority w:val="0"/>
  </w:style>
  <w:style w:type="character" w:customStyle="1" w:styleId="107">
    <w:name w:val="hj-easyread-speakerprocesser-position-action-icon"/>
    <w:basedOn w:val="38"/>
    <w:autoRedefine/>
    <w:qFormat/>
    <w:uiPriority w:val="0"/>
  </w:style>
  <w:style w:type="character" w:customStyle="1" w:styleId="108">
    <w:name w:val="lab_fbrq_yd3"/>
    <w:basedOn w:val="38"/>
    <w:autoRedefine/>
    <w:qFormat/>
    <w:uiPriority w:val="0"/>
  </w:style>
  <w:style w:type="character" w:customStyle="1" w:styleId="109">
    <w:name w:val="批注文字 Char"/>
    <w:basedOn w:val="38"/>
    <w:link w:val="12"/>
    <w:autoRedefine/>
    <w:qFormat/>
    <w:uiPriority w:val="0"/>
    <w:rPr>
      <w:sz w:val="24"/>
    </w:rPr>
  </w:style>
  <w:style w:type="character" w:customStyle="1" w:styleId="110">
    <w:name w:val="Char Char Char Char Char Char Char Char"/>
    <w:basedOn w:val="38"/>
    <w:autoRedefine/>
    <w:qFormat/>
    <w:uiPriority w:val="0"/>
    <w:rPr>
      <w:rFonts w:hint="eastAsia" w:ascii="宋体" w:hAnsi="Courier New" w:eastAsia="宋体" w:cs="Courier New"/>
      <w:kern w:val="2"/>
      <w:sz w:val="21"/>
      <w:szCs w:val="21"/>
      <w:lang w:val="en-US" w:eastAsia="zh-CN"/>
    </w:rPr>
  </w:style>
  <w:style w:type="character" w:customStyle="1" w:styleId="111">
    <w:name w:val="lab_sshy"/>
    <w:basedOn w:val="38"/>
    <w:autoRedefine/>
    <w:qFormat/>
    <w:uiPriority w:val="0"/>
  </w:style>
  <w:style w:type="character" w:customStyle="1" w:styleId="112">
    <w:name w:val="lab_jydd"/>
    <w:basedOn w:val="38"/>
    <w:autoRedefine/>
    <w:qFormat/>
    <w:uiPriority w:val="0"/>
  </w:style>
  <w:style w:type="character" w:customStyle="1" w:styleId="113">
    <w:name w:val="lab_fbrq"/>
    <w:basedOn w:val="38"/>
    <w:autoRedefine/>
    <w:qFormat/>
    <w:uiPriority w:val="0"/>
  </w:style>
  <w:style w:type="character" w:customStyle="1" w:styleId="114">
    <w:name w:val="bds_more"/>
    <w:basedOn w:val="38"/>
    <w:autoRedefine/>
    <w:qFormat/>
    <w:uiPriority w:val="0"/>
    <w:rPr>
      <w:rFonts w:hint="eastAsia" w:ascii="宋体" w:hAnsi="宋体" w:eastAsia="宋体" w:cs="宋体"/>
    </w:rPr>
  </w:style>
  <w:style w:type="character" w:customStyle="1" w:styleId="115">
    <w:name w:val="样式 Char"/>
    <w:basedOn w:val="38"/>
    <w:autoRedefine/>
    <w:qFormat/>
    <w:uiPriority w:val="0"/>
    <w:rPr>
      <w:rFonts w:hint="eastAsia" w:ascii="宋体" w:hAnsi="宋体" w:eastAsia="宋体" w:cs="宋体"/>
      <w:sz w:val="24"/>
      <w:szCs w:val="24"/>
    </w:rPr>
  </w:style>
  <w:style w:type="character" w:customStyle="1" w:styleId="116">
    <w:name w:val="纯文本 Char2"/>
    <w:basedOn w:val="38"/>
    <w:autoRedefine/>
    <w:qFormat/>
    <w:uiPriority w:val="0"/>
    <w:rPr>
      <w:rFonts w:hint="eastAsia" w:ascii="宋体" w:hAnsi="Courier New" w:eastAsia="宋体" w:cs="Courier New"/>
      <w:kern w:val="2"/>
      <w:sz w:val="21"/>
      <w:szCs w:val="21"/>
      <w:lang w:val="en-US" w:eastAsia="zh-CN"/>
    </w:rPr>
  </w:style>
  <w:style w:type="character" w:customStyle="1" w:styleId="117">
    <w:name w:val="bds_nopic"/>
    <w:basedOn w:val="38"/>
    <w:autoRedefine/>
    <w:qFormat/>
    <w:uiPriority w:val="0"/>
  </w:style>
  <w:style w:type="character" w:customStyle="1" w:styleId="118">
    <w:name w:val="lab_dlgs_yd8"/>
    <w:basedOn w:val="38"/>
    <w:autoRedefine/>
    <w:qFormat/>
    <w:uiPriority w:val="0"/>
  </w:style>
  <w:style w:type="character" w:customStyle="1" w:styleId="119">
    <w:name w:val="正文文本缩进 Char"/>
    <w:basedOn w:val="38"/>
    <w:link w:val="14"/>
    <w:autoRedefine/>
    <w:qFormat/>
    <w:uiPriority w:val="0"/>
    <w:rPr>
      <w:rFonts w:hint="eastAsia" w:ascii="宋体" w:hAnsi="宋体" w:eastAsia="宋体" w:cs="宋体"/>
      <w:sz w:val="28"/>
    </w:rPr>
  </w:style>
  <w:style w:type="character" w:customStyle="1" w:styleId="120">
    <w:name w:val="页眉 Char1"/>
    <w:basedOn w:val="38"/>
    <w:autoRedefine/>
    <w:qFormat/>
    <w:uiPriority w:val="0"/>
    <w:rPr>
      <w:sz w:val="18"/>
      <w:szCs w:val="18"/>
    </w:rPr>
  </w:style>
  <w:style w:type="character" w:customStyle="1" w:styleId="121">
    <w:name w:val="日期 Char"/>
    <w:basedOn w:val="38"/>
    <w:link w:val="21"/>
    <w:autoRedefine/>
    <w:qFormat/>
    <w:uiPriority w:val="0"/>
    <w:rPr>
      <w:rFonts w:hint="eastAsia" w:ascii="黑体" w:hAnsi="宋体" w:eastAsia="黑体" w:cs="黑体"/>
      <w:kern w:val="2"/>
      <w:sz w:val="32"/>
    </w:rPr>
  </w:style>
  <w:style w:type="character" w:customStyle="1" w:styleId="122">
    <w:name w:val="正文文本缩进 2 Char"/>
    <w:basedOn w:val="38"/>
    <w:link w:val="22"/>
    <w:autoRedefine/>
    <w:qFormat/>
    <w:uiPriority w:val="0"/>
  </w:style>
  <w:style w:type="character" w:customStyle="1" w:styleId="123">
    <w:name w:val="批注框文本 Char"/>
    <w:basedOn w:val="38"/>
    <w:link w:val="23"/>
    <w:autoRedefine/>
    <w:qFormat/>
    <w:uiPriority w:val="0"/>
    <w:rPr>
      <w:sz w:val="18"/>
      <w:szCs w:val="18"/>
    </w:rPr>
  </w:style>
  <w:style w:type="character" w:customStyle="1" w:styleId="124">
    <w:name w:val="正文文本 2 Char"/>
    <w:basedOn w:val="38"/>
    <w:link w:val="30"/>
    <w:autoRedefine/>
    <w:qFormat/>
    <w:uiPriority w:val="0"/>
    <w:rPr>
      <w:kern w:val="2"/>
      <w:sz w:val="21"/>
      <w:szCs w:val="24"/>
    </w:rPr>
  </w:style>
  <w:style w:type="character" w:customStyle="1" w:styleId="125">
    <w:name w:val="脚注文本 Char"/>
    <w:basedOn w:val="38"/>
    <w:link w:val="28"/>
    <w:autoRedefine/>
    <w:qFormat/>
    <w:uiPriority w:val="0"/>
    <w:rPr>
      <w:sz w:val="18"/>
    </w:rPr>
  </w:style>
  <w:style w:type="paragraph" w:customStyle="1" w:styleId="126">
    <w:name w:val="样式 标题 1 + 宋体 居中 段前: 48 磅 段后: 12 磅 行距: 1.5 倍行距"/>
    <w:basedOn w:val="2"/>
    <w:autoRedefine/>
    <w:qFormat/>
    <w:uiPriority w:val="0"/>
    <w:pPr>
      <w:snapToGrid w:val="0"/>
      <w:spacing w:before="0" w:after="0" w:line="360" w:lineRule="auto"/>
      <w:jc w:val="center"/>
    </w:pPr>
    <w:rPr>
      <w:rFonts w:hint="eastAsia" w:ascii="宋体" w:hAnsi="宋体"/>
      <w:kern w:val="2"/>
    </w:rPr>
  </w:style>
  <w:style w:type="paragraph" w:customStyle="1" w:styleId="127">
    <w:name w:val="TOC 标题1"/>
    <w:basedOn w:val="2"/>
    <w:next w:val="1"/>
    <w:autoRedefine/>
    <w:qFormat/>
    <w:uiPriority w:val="0"/>
    <w:pPr>
      <w:outlineLvl w:val="9"/>
    </w:pPr>
  </w:style>
  <w:style w:type="paragraph" w:customStyle="1" w:styleId="128">
    <w:name w:val="Plain Text_c90d7890-3b6a-4348-8e48-4838305f78ec"/>
    <w:basedOn w:val="1"/>
    <w:autoRedefine/>
    <w:qFormat/>
    <w:uiPriority w:val="0"/>
    <w:pPr>
      <w:adjustRightInd/>
      <w:spacing w:line="240" w:lineRule="auto"/>
      <w:textAlignment w:val="auto"/>
    </w:pPr>
    <w:rPr>
      <w:rFonts w:ascii="宋体" w:hAnsi="Courier New"/>
      <w:szCs w:val="21"/>
    </w:rPr>
  </w:style>
  <w:style w:type="paragraph" w:customStyle="1" w:styleId="129">
    <w:name w:val="正文首行缩进1"/>
    <w:basedOn w:val="13"/>
    <w:autoRedefine/>
    <w:qFormat/>
    <w:uiPriority w:val="0"/>
    <w:pPr>
      <w:ind w:firstLine="420" w:firstLineChars="100"/>
    </w:pPr>
  </w:style>
  <w:style w:type="paragraph" w:customStyle="1" w:styleId="130">
    <w:name w:val="Table Paragraph"/>
    <w:basedOn w:val="1"/>
    <w:autoRedefine/>
    <w:qFormat/>
    <w:uiPriority w:val="1"/>
    <w:pPr>
      <w:autoSpaceDE w:val="0"/>
      <w:autoSpaceDN w:val="0"/>
      <w:jc w:val="left"/>
    </w:pPr>
    <w:rPr>
      <w:rFonts w:ascii="宋体" w:hAnsi="宋体" w:cs="宋体"/>
      <w:sz w:val="22"/>
      <w:szCs w:val="22"/>
      <w:lang w:eastAsia="en-US"/>
    </w:rPr>
  </w:style>
  <w:style w:type="paragraph" w:styleId="131">
    <w:name w:val="List Paragraph"/>
    <w:basedOn w:val="1"/>
    <w:autoRedefine/>
    <w:unhideWhenUsed/>
    <w:qFormat/>
    <w:uiPriority w:val="99"/>
    <w:pPr>
      <w:ind w:firstLine="420" w:firstLineChars="200"/>
    </w:pPr>
  </w:style>
  <w:style w:type="table" w:customStyle="1" w:styleId="132">
    <w:name w:val="Table Normal"/>
    <w:autoRedefine/>
    <w:semiHidden/>
    <w:unhideWhenUsed/>
    <w:qFormat/>
    <w:uiPriority w:val="2"/>
    <w:tblPr>
      <w:tblCellMar>
        <w:top w:w="0" w:type="dxa"/>
        <w:left w:w="0" w:type="dxa"/>
        <w:bottom w:w="0" w:type="dxa"/>
        <w:right w:w="0" w:type="dxa"/>
      </w:tblCellMar>
    </w:tblPr>
  </w:style>
  <w:style w:type="character" w:customStyle="1" w:styleId="133">
    <w:name w:val="NormalCharacter"/>
    <w:autoRedefine/>
    <w:qFormat/>
    <w:uiPriority w:val="99"/>
    <w:rPr>
      <w:rFonts w:ascii="Times New Roman" w:hAnsi="Times New Roman" w:eastAsia="宋体"/>
      <w:kern w:val="2"/>
      <w:sz w:val="24"/>
      <w:lang w:val="en-US" w:eastAsia="zh-CN"/>
    </w:rPr>
  </w:style>
  <w:style w:type="paragraph" w:customStyle="1" w:styleId="134">
    <w:name w:val="Table Text"/>
    <w:basedOn w:val="1"/>
    <w:semiHidden/>
    <w:qFormat/>
    <w:uiPriority w:val="0"/>
    <w:rPr>
      <w:rFonts w:ascii="宋体" w:hAnsi="宋体" w:eastAsia="宋体" w:cs="宋体"/>
      <w:sz w:val="19"/>
      <w:szCs w:val="19"/>
      <w:lang w:val="en-US" w:eastAsia="en-US" w:bidi="ar-SA"/>
    </w:rPr>
  </w:style>
  <w:style w:type="paragraph" w:customStyle="1" w:styleId="135">
    <w:name w:val="Plain Text"/>
    <w:basedOn w:val="1"/>
    <w:qFormat/>
    <w:uiPriority w:val="0"/>
    <w:pPr>
      <w:adjustRightInd/>
      <w:spacing w:line="240" w:lineRule="auto"/>
      <w:textAlignment w:val="auto"/>
    </w:pPr>
    <w:rPr>
      <w:rFonts w:ascii="宋体" w:hAnsi="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52</Pages>
  <Words>13006</Words>
  <Characters>13805</Characters>
  <Lines>233</Lines>
  <Paragraphs>65</Paragraphs>
  <TotalTime>8</TotalTime>
  <ScaleCrop>false</ScaleCrop>
  <LinksUpToDate>false</LinksUpToDate>
  <CharactersWithSpaces>13958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2024-05-07T00:20:00Z</dcterms:created>
  <dc:creator>NTKO</dc:creator>
  <cp:lastModifiedBy>徐璐</cp:lastModifiedBy>
  <cp:lastPrinted>2022-04-15T07:25:00Z</cp:lastPrinted>
  <dcterms:modified xsi:type="dcterms:W3CDTF">2025-09-11T02:49:18Z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F43C5A0C765146A1B7FD030445B0CF7D_13</vt:lpwstr>
  </property>
  <property fmtid="{D5CDD505-2E9C-101B-9397-08002B2CF9AE}" pid="4" name="KSOTemplateDocerSaveRecord">
    <vt:lpwstr>eyJoZGlkIjoiMTM4MDQwODhiZTkyN2QyYmUzN2M1NDdmZGMyZGFiN2UiLCJ1c2VySWQiOiIxNDQ3NzUyODcyIn0=</vt:lpwstr>
  </property>
</Properties>
</file>